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2EC" w:rsidRDefault="00C93408" w:rsidP="00341023">
      <w:pPr>
        <w:jc w:val="both"/>
        <w:rPr>
          <w:rFonts w:ascii="Times New Roman" w:hAnsi="Times New Roman" w:cs="Times New Roman"/>
          <w:sz w:val="24"/>
          <w:szCs w:val="24"/>
        </w:rPr>
      </w:pPr>
      <w:r w:rsidRPr="00C93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Ponencia:</w:t>
      </w:r>
      <w:r w:rsidRPr="00C93408">
        <w:rPr>
          <w:rFonts w:ascii="Times New Roman" w:hAnsi="Times New Roman" w:cs="Times New Roman"/>
          <w:sz w:val="24"/>
          <w:szCs w:val="24"/>
        </w:rPr>
        <w:t xml:space="preserve"> "Magia, mito y ritual en la poesía de Nicolás </w:t>
      </w:r>
      <w:r>
        <w:rPr>
          <w:rFonts w:ascii="Times New Roman" w:hAnsi="Times New Roman" w:cs="Times New Roman"/>
          <w:sz w:val="24"/>
          <w:szCs w:val="24"/>
        </w:rPr>
        <w:t>Guillén.</w:t>
      </w:r>
    </w:p>
    <w:p w:rsidR="00ED5890" w:rsidRDefault="00ED5890" w:rsidP="0034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Leonardo Sarría Muzio</w:t>
      </w:r>
    </w:p>
    <w:p w:rsidR="00ED5890" w:rsidRDefault="00ED5890" w:rsidP="0034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Facultad de Artes y Letras</w:t>
      </w:r>
    </w:p>
    <w:p w:rsidR="00ED5890" w:rsidRDefault="00ED5890" w:rsidP="0034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</w:t>
      </w:r>
    </w:p>
    <w:p w:rsidR="00341023" w:rsidRPr="00906C2F" w:rsidRDefault="006412EC" w:rsidP="00341023">
      <w:pPr>
        <w:jc w:val="both"/>
        <w:rPr>
          <w:rFonts w:ascii="Times New Roman" w:hAnsi="Times New Roman" w:cs="Times New Roman"/>
          <w:sz w:val="24"/>
          <w:szCs w:val="24"/>
        </w:rPr>
      </w:pPr>
      <w:r w:rsidRPr="006412EC">
        <w:rPr>
          <w:rFonts w:ascii="Times New Roman" w:hAnsi="Times New Roman" w:cs="Times New Roman"/>
          <w:sz w:val="24"/>
          <w:szCs w:val="24"/>
        </w:rPr>
        <w:t>La ponencia explora el sentido mágico, mítico y ritual de la poesía de Nicolás Guillén, fundamentalmente a partir de dos textos del cuaderno _West Indies Ltd._ (1934): "Sensemayá" y "Balada del güije", aunque sin desconocer otros textos y asuntos que se vinculan con esa dimensión de la poesía guilleniana. Asimismo, desde estas coordenadas, se discuten las lecturas que, en torno al juego entre lengua poética y lengua ritual, han desarrollado críticos como José Juan Arrom y Roberto González Echevarría.</w:t>
      </w:r>
    </w:p>
    <w:sectPr w:rsidR="00341023" w:rsidRPr="00906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023"/>
    <w:rsid w:val="00177916"/>
    <w:rsid w:val="00206181"/>
    <w:rsid w:val="00272B60"/>
    <w:rsid w:val="00341023"/>
    <w:rsid w:val="00342270"/>
    <w:rsid w:val="006412EC"/>
    <w:rsid w:val="00906C2F"/>
    <w:rsid w:val="00BC06FA"/>
    <w:rsid w:val="00BE5175"/>
    <w:rsid w:val="00C93408"/>
    <w:rsid w:val="00E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63BB"/>
  <w15:docId w15:val="{5CD95BBE-3CB9-634B-835F-71850FBE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Usuario invitado</cp:lastModifiedBy>
  <cp:revision>2</cp:revision>
  <dcterms:created xsi:type="dcterms:W3CDTF">2025-03-19T16:46:00Z</dcterms:created>
  <dcterms:modified xsi:type="dcterms:W3CDTF">2025-03-19T16:46:00Z</dcterms:modified>
</cp:coreProperties>
</file>