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AC15" w14:textId="77777777" w:rsidR="00EF0CE2" w:rsidRPr="00EF0CE2" w:rsidRDefault="003276E8" w:rsidP="00EF0CE2">
      <w:pPr>
        <w:spacing w:line="240" w:lineRule="auto"/>
        <w:jc w:val="both"/>
        <w:rPr>
          <w:rFonts w:ascii="Arial" w:hAnsi="Arial" w:cs="Arial"/>
          <w:color w:val="2C363A"/>
          <w:sz w:val="24"/>
          <w:szCs w:val="24"/>
          <w:u w:val="single"/>
        </w:rPr>
      </w:pPr>
      <w:r w:rsidRPr="00EF0CE2">
        <w:rPr>
          <w:rFonts w:ascii="Arial" w:hAnsi="Arial" w:cs="Arial"/>
          <w:b/>
          <w:bCs/>
          <w:color w:val="2C363A"/>
          <w:sz w:val="24"/>
          <w:szCs w:val="24"/>
          <w:shd w:val="clear" w:color="auto" w:fill="FFFFFF"/>
        </w:rPr>
        <w:t>¿"Por qué un premio a la Innovación Comunitaria en la Comunidad rural La Picadora</w:t>
      </w:r>
      <w:r w:rsidR="00EF0CE2" w:rsidRPr="00EF0CE2">
        <w:rPr>
          <w:rFonts w:ascii="Arial" w:hAnsi="Arial" w:cs="Arial"/>
          <w:b/>
          <w:bCs/>
          <w:color w:val="2C363A"/>
          <w:sz w:val="24"/>
          <w:szCs w:val="24"/>
          <w:shd w:val="clear" w:color="auto" w:fill="FFFFFF"/>
        </w:rPr>
        <w:t>”</w:t>
      </w:r>
      <w:r w:rsidRPr="00EF0CE2">
        <w:rPr>
          <w:rFonts w:ascii="Arial" w:hAnsi="Arial" w:cs="Arial"/>
          <w:b/>
          <w:bCs/>
          <w:color w:val="2C363A"/>
          <w:sz w:val="24"/>
          <w:szCs w:val="24"/>
          <w:shd w:val="clear" w:color="auto" w:fill="FFFFFF"/>
        </w:rPr>
        <w:t>?</w:t>
      </w:r>
      <w:r w:rsidRPr="00EF0CE2">
        <w:rPr>
          <w:rFonts w:ascii="Arial" w:hAnsi="Arial" w:cs="Arial"/>
          <w:color w:val="2C363A"/>
          <w:sz w:val="24"/>
          <w:szCs w:val="24"/>
        </w:rPr>
        <w:br/>
      </w:r>
    </w:p>
    <w:p w14:paraId="6F757590" w14:textId="35137AA5" w:rsidR="003276E8" w:rsidRPr="00EF0CE2" w:rsidRDefault="003276E8" w:rsidP="00EF0CE2">
      <w:pPr>
        <w:spacing w:line="240" w:lineRule="auto"/>
        <w:jc w:val="both"/>
        <w:rPr>
          <w:rFonts w:ascii="Arial" w:hAnsi="Arial" w:cs="Arial"/>
          <w:color w:val="2C363A"/>
          <w:sz w:val="24"/>
          <w:szCs w:val="24"/>
        </w:rPr>
      </w:pPr>
      <w:r w:rsidRPr="00EF0CE2">
        <w:rPr>
          <w:rFonts w:ascii="Arial" w:hAnsi="Arial" w:cs="Arial"/>
          <w:color w:val="2C363A"/>
          <w:sz w:val="24"/>
          <w:szCs w:val="24"/>
          <w:u w:val="single"/>
        </w:rPr>
        <w:t>José Ángel Rodríguez Sánchez</w:t>
      </w:r>
      <w:r w:rsidR="00EF0CE2" w:rsidRPr="00EF0CE2">
        <w:rPr>
          <w:rFonts w:ascii="Arial" w:hAnsi="Arial" w:cs="Arial"/>
          <w:color w:val="2C363A"/>
          <w:sz w:val="24"/>
          <w:szCs w:val="24"/>
          <w:vertAlign w:val="superscript"/>
        </w:rPr>
        <w:t>1</w:t>
      </w:r>
      <w:r w:rsidR="00EF0CE2" w:rsidRPr="00EF0CE2">
        <w:rPr>
          <w:rFonts w:ascii="Arial" w:hAnsi="Arial" w:cs="Arial"/>
          <w:color w:val="2C363A"/>
          <w:sz w:val="24"/>
          <w:szCs w:val="24"/>
        </w:rPr>
        <w:t xml:space="preserve"> </w:t>
      </w:r>
      <w:r w:rsidRPr="00EF0CE2">
        <w:rPr>
          <w:rFonts w:ascii="Arial" w:hAnsi="Arial" w:cs="Arial"/>
          <w:color w:val="2C363A"/>
          <w:sz w:val="24"/>
          <w:szCs w:val="24"/>
        </w:rPr>
        <w:t xml:space="preserve">y Ester Denis Pérez </w:t>
      </w:r>
    </w:p>
    <w:p w14:paraId="0D9D8C8E" w14:textId="431F8790" w:rsidR="00EF0CE2" w:rsidRPr="00EF0CE2" w:rsidRDefault="00EF0CE2" w:rsidP="00EF0CE2">
      <w:pPr>
        <w:spacing w:line="240" w:lineRule="auto"/>
        <w:rPr>
          <w:rFonts w:ascii="Arial" w:hAnsi="Arial" w:cs="Arial"/>
          <w:color w:val="2C363A"/>
          <w:sz w:val="24"/>
          <w:szCs w:val="24"/>
          <w:shd w:val="clear" w:color="auto" w:fill="FFFFFF"/>
        </w:rPr>
      </w:pPr>
      <w:r w:rsidRPr="00EF0CE2">
        <w:rPr>
          <w:rFonts w:ascii="Arial" w:hAnsi="Arial" w:cs="Arial"/>
          <w:color w:val="2C363A"/>
          <w:sz w:val="24"/>
          <w:szCs w:val="24"/>
          <w:vertAlign w:val="superscript"/>
        </w:rPr>
        <w:t>1</w:t>
      </w:r>
      <w:r w:rsidRPr="00EF0CE2">
        <w:rPr>
          <w:rFonts w:ascii="Arial" w:hAnsi="Arial" w:cs="Arial"/>
          <w:color w:val="2C363A"/>
          <w:sz w:val="24"/>
          <w:szCs w:val="24"/>
        </w:rPr>
        <w:t xml:space="preserve"> Comunidad </w:t>
      </w:r>
      <w:r>
        <w:rPr>
          <w:rFonts w:ascii="Arial" w:hAnsi="Arial" w:cs="Arial"/>
          <w:color w:val="2C363A"/>
          <w:sz w:val="24"/>
          <w:szCs w:val="24"/>
        </w:rPr>
        <w:t xml:space="preserve">rural </w:t>
      </w:r>
      <w:r w:rsidRPr="00EF0CE2">
        <w:rPr>
          <w:rFonts w:ascii="Arial" w:hAnsi="Arial" w:cs="Arial"/>
          <w:color w:val="2C363A"/>
          <w:sz w:val="24"/>
          <w:szCs w:val="24"/>
        </w:rPr>
        <w:t>La Picadora. Red UHDL Universidad de La Habana.</w:t>
      </w:r>
      <w:r w:rsidR="003276E8" w:rsidRPr="00EF0CE2">
        <w:rPr>
          <w:rFonts w:ascii="Arial" w:hAnsi="Arial" w:cs="Arial"/>
          <w:color w:val="2C363A"/>
          <w:sz w:val="24"/>
          <w:szCs w:val="24"/>
        </w:rPr>
        <w:br/>
      </w:r>
    </w:p>
    <w:p w14:paraId="78C37AF2" w14:textId="3C3B4F2C" w:rsidR="00EF0CE2" w:rsidRPr="00EF0CE2" w:rsidRDefault="00EF0CE2" w:rsidP="00EF0CE2">
      <w:pPr>
        <w:spacing w:line="240" w:lineRule="auto"/>
        <w:rPr>
          <w:rFonts w:ascii="Arial" w:hAnsi="Arial" w:cs="Arial"/>
          <w:b/>
          <w:bCs/>
          <w:color w:val="2C363A"/>
          <w:sz w:val="24"/>
          <w:szCs w:val="24"/>
          <w:shd w:val="clear" w:color="auto" w:fill="FFFFFF"/>
        </w:rPr>
      </w:pPr>
      <w:r w:rsidRPr="00EF0CE2">
        <w:rPr>
          <w:rFonts w:ascii="Arial" w:hAnsi="Arial" w:cs="Arial"/>
          <w:b/>
          <w:bCs/>
          <w:color w:val="2C363A"/>
          <w:sz w:val="24"/>
          <w:szCs w:val="24"/>
          <w:shd w:val="clear" w:color="auto" w:fill="FFFFFF"/>
        </w:rPr>
        <w:t>Resumen</w:t>
      </w:r>
    </w:p>
    <w:p w14:paraId="082C14EB" w14:textId="783B14E5" w:rsidR="008D5C34" w:rsidRPr="00EF0CE2" w:rsidRDefault="003276E8" w:rsidP="00EF0CE2">
      <w:pPr>
        <w:spacing w:line="240" w:lineRule="auto"/>
        <w:jc w:val="both"/>
        <w:rPr>
          <w:rFonts w:ascii="Arial" w:hAnsi="Arial" w:cs="Arial"/>
          <w:sz w:val="24"/>
          <w:szCs w:val="24"/>
        </w:rPr>
      </w:pPr>
      <w:r w:rsidRPr="00EF0CE2">
        <w:rPr>
          <w:rFonts w:ascii="Arial" w:hAnsi="Arial" w:cs="Arial"/>
          <w:color w:val="2C363A"/>
          <w:sz w:val="24"/>
          <w:szCs w:val="24"/>
          <w:shd w:val="clear" w:color="auto" w:fill="FFFFFF"/>
        </w:rPr>
        <w:t>En la comunidad rural La Picadora, del Consejo Popular Mayajigua, Yaguajay, Sancti Spíritus, se desarrolla el proyecto Comunitario "Despertando Sueños". El mismo es un paradigma en la introducción de la ciencia, la tecnología y la innovación, sobre la base de la utilización de la agroecología en las producciones agropecuarias con nuevas variedades, recuperación de suelo, producción de materiales alternativos de la construcción, medidas aplicadas para la mitigación y adaptación al cambio climático, uso de los recursos endógenos fundamentalmente en la actividad de turismo de naturaleza como una fuente de ingresos personales y familiares, lo que ha permitido que la comunidad se convierta en un centro promotor y de alianza con institutos de investigaciones, coordinador de eventos nacionales e internacionales, todo ello reflejado en el incremento de la calidad de vida de sus habitantes.</w:t>
      </w:r>
      <w:r w:rsidRPr="00EF0CE2">
        <w:rPr>
          <w:rFonts w:ascii="Arial" w:hAnsi="Arial" w:cs="Arial"/>
          <w:color w:val="2C363A"/>
          <w:sz w:val="24"/>
          <w:szCs w:val="24"/>
        </w:rPr>
        <w:br/>
      </w:r>
      <w:r w:rsidRPr="00EF0CE2">
        <w:rPr>
          <w:rFonts w:ascii="Arial" w:hAnsi="Arial" w:cs="Arial"/>
          <w:color w:val="2C363A"/>
          <w:sz w:val="24"/>
          <w:szCs w:val="24"/>
          <w:shd w:val="clear" w:color="auto" w:fill="FFFFFF"/>
        </w:rPr>
        <w:t>Las instalaciones existentes en la comunidad han propiciado que a lo largo de estos años se hayan realizado eventos, talleres, encuentros, que sobrepasan la cifra de 30 con carácter local, nacional e internacional entre los que se destacan el evento internacional de Arqueología y Paleontología, Biodiversidad Caguanes, encuentros Universidad-Gobierno sobre Desarrollo Local, además de ser visitada la comunidad por más 5000 turistas que han conocido las costumbres y tradiciones. Se han efectuado más de 12 estudios antropológicos con varias publicaciones.</w:t>
      </w:r>
    </w:p>
    <w:sectPr w:rsidR="008D5C34" w:rsidRPr="00EF0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E8"/>
    <w:rsid w:val="003276E8"/>
    <w:rsid w:val="008D5C34"/>
    <w:rsid w:val="00EF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7642"/>
  <w15:chartTrackingRefBased/>
  <w15:docId w15:val="{93710DD3-6DBD-43F2-95C0-AAB491AA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lapicadora1@outlook.com</dc:creator>
  <cp:keywords/>
  <dc:description/>
  <cp:lastModifiedBy>Tamara</cp:lastModifiedBy>
  <cp:revision>2</cp:revision>
  <dcterms:created xsi:type="dcterms:W3CDTF">2025-03-21T19:03:00Z</dcterms:created>
  <dcterms:modified xsi:type="dcterms:W3CDTF">2025-03-21T19:03:00Z</dcterms:modified>
</cp:coreProperties>
</file>