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9A" w:rsidRPr="00A478ED" w:rsidRDefault="00A478ED" w:rsidP="00816C38">
      <w:pPr>
        <w:jc w:val="center"/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PROGRAMA DEL EVENTO PROVINCIAL LA HABANA UNIVERSIDAD 2026, SEDE UNIVERSIDAD DE LA HABANA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26"/>
        <w:gridCol w:w="1060"/>
        <w:gridCol w:w="923"/>
        <w:gridCol w:w="3874"/>
      </w:tblGrid>
      <w:tr w:rsidR="007F417C" w:rsidRPr="00A478ED" w:rsidTr="00195893">
        <w:trPr>
          <w:jc w:val="center"/>
        </w:trPr>
        <w:tc>
          <w:tcPr>
            <w:tcW w:w="102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ACTIVIDADES CENTRALES</w:t>
            </w:r>
          </w:p>
        </w:tc>
      </w:tr>
      <w:tr w:rsidR="000C7A6E" w:rsidRPr="00A478ED" w:rsidTr="00195893">
        <w:trPr>
          <w:jc w:val="center"/>
        </w:trPr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0C7A6E" w:rsidRPr="00A478ED" w:rsidTr="00195893">
        <w:trPr>
          <w:jc w:val="center"/>
        </w:trPr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Acreditación</w:t>
            </w: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 xml:space="preserve">Planta baja del Centro de Convenciones de la UH (CCUH), edificio Varona, Colina Universitaria, San Lázaro y L, Vedado </w:t>
            </w:r>
          </w:p>
        </w:tc>
      </w:tr>
      <w:tr w:rsidR="000C7A6E" w:rsidRPr="00A478ED" w:rsidTr="00195893">
        <w:trPr>
          <w:jc w:val="center"/>
        </w:trPr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Inauguración del evento</w:t>
            </w:r>
          </w:p>
          <w:p w:rsidR="00914E6B" w:rsidRDefault="007F417C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Conferencia:</w:t>
            </w:r>
            <w:r w:rsidRPr="007F41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17C" w:rsidRPr="007F417C" w:rsidRDefault="000C7A6E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  <w:r w:rsidRPr="00914E6B">
              <w:rPr>
                <w:rFonts w:ascii="Arial" w:hAnsi="Arial" w:cs="Arial"/>
                <w:i/>
                <w:sz w:val="24"/>
                <w:szCs w:val="24"/>
              </w:rPr>
              <w:t>La Inteligencia Artificial y su impacto en la Educación Superior</w:t>
            </w: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Conferencista:</w:t>
            </w:r>
            <w:r w:rsidR="000C7A6E">
              <w:rPr>
                <w:rFonts w:ascii="Arial" w:hAnsi="Arial" w:cs="Arial"/>
                <w:sz w:val="24"/>
                <w:szCs w:val="24"/>
              </w:rPr>
              <w:t xml:space="preserve"> DrC. </w:t>
            </w:r>
            <w:r w:rsidR="003F2137">
              <w:rPr>
                <w:rFonts w:ascii="Arial" w:hAnsi="Arial" w:cs="Arial"/>
                <w:sz w:val="24"/>
                <w:szCs w:val="24"/>
              </w:rPr>
              <w:t xml:space="preserve">Alejandro </w:t>
            </w:r>
            <w:r w:rsidR="000C7A6E">
              <w:rPr>
                <w:rFonts w:ascii="Arial" w:hAnsi="Arial" w:cs="Arial"/>
                <w:sz w:val="24"/>
                <w:szCs w:val="24"/>
              </w:rPr>
              <w:t>Piard Morfi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Anfiteatro Varona (planta baja de CCUH)</w:t>
            </w:r>
          </w:p>
        </w:tc>
      </w:tr>
    </w:tbl>
    <w:p w:rsidR="00A478ED" w:rsidRDefault="00A478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7F417C" w:rsidTr="000F2B6D">
        <w:tc>
          <w:tcPr>
            <w:tcW w:w="10207" w:type="dxa"/>
          </w:tcPr>
          <w:p w:rsidR="007F417C" w:rsidRDefault="007F417C" w:rsidP="00816C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SESIÓN DEL TALLER: </w:t>
            </w:r>
            <w:r w:rsidR="00816C38" w:rsidRPr="004C5206">
              <w:rPr>
                <w:rFonts w:ascii="Arial" w:hAnsi="Arial" w:cs="Arial"/>
                <w:sz w:val="24"/>
                <w:szCs w:val="24"/>
              </w:rPr>
              <w:t>Educación Médica: Retos y perspectiva (MED)</w:t>
            </w:r>
          </w:p>
        </w:tc>
      </w:tr>
      <w:tr w:rsidR="007F417C" w:rsidTr="000F2B6D">
        <w:trPr>
          <w:trHeight w:val="2776"/>
        </w:trPr>
        <w:tc>
          <w:tcPr>
            <w:tcW w:w="10207" w:type="dxa"/>
          </w:tcPr>
          <w:p w:rsidR="001F4E22" w:rsidRDefault="001F4E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Día:</w:t>
            </w:r>
            <w:r w:rsidR="00816C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6C38" w:rsidRPr="00816C38">
              <w:rPr>
                <w:rFonts w:ascii="Arial" w:hAnsi="Arial" w:cs="Arial"/>
                <w:sz w:val="24"/>
                <w:szCs w:val="24"/>
              </w:rPr>
              <w:t>30 de abril de 2025</w:t>
            </w:r>
          </w:p>
          <w:p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  <w:r w:rsidR="000F6D6A">
              <w:rPr>
                <w:rFonts w:ascii="Arial" w:hAnsi="Arial" w:cs="Arial"/>
                <w:b/>
                <w:sz w:val="24"/>
                <w:szCs w:val="24"/>
              </w:rPr>
              <w:t xml:space="preserve"> de comienzo de sesión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16C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6C38" w:rsidRPr="00816C38">
              <w:rPr>
                <w:rFonts w:ascii="Arial" w:hAnsi="Arial" w:cs="Arial"/>
                <w:sz w:val="24"/>
                <w:szCs w:val="24"/>
              </w:rPr>
              <w:t>9 am</w:t>
            </w:r>
          </w:p>
          <w:p w:rsidR="007F417C" w:rsidRPr="00816C38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Lugar:</w:t>
            </w:r>
            <w:r w:rsidR="00816C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6C38" w:rsidRPr="00816C38">
              <w:rPr>
                <w:rFonts w:ascii="Arial" w:hAnsi="Arial" w:cs="Arial"/>
                <w:sz w:val="24"/>
                <w:szCs w:val="24"/>
              </w:rPr>
              <w:t>Casa Estudiantil UH. Calle K, esquina 27, Vedado. Plaza de la Revolución</w:t>
            </w:r>
          </w:p>
          <w:p w:rsidR="009A7E09" w:rsidRPr="004C5206" w:rsidRDefault="00AA59DC" w:rsidP="001958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Modalidad de desarrollo de la sesión:</w:t>
            </w:r>
            <w:r w:rsidR="00F043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6C38" w:rsidRPr="00816C38">
              <w:rPr>
                <w:rFonts w:ascii="Arial" w:hAnsi="Arial" w:cs="Arial"/>
                <w:sz w:val="24"/>
                <w:szCs w:val="24"/>
              </w:rPr>
              <w:t xml:space="preserve">La exposición de los trabajos se hará en 5 minutos sin necesidad de utilización de presentaciones en soporte digital y respetando el horario que le corresponde a cada ponente. Al terminar cada bloque correspondiente a </w:t>
            </w:r>
            <w:r w:rsidR="00816C38">
              <w:rPr>
                <w:rFonts w:ascii="Arial" w:hAnsi="Arial" w:cs="Arial"/>
                <w:sz w:val="24"/>
                <w:szCs w:val="24"/>
              </w:rPr>
              <w:t>cada</w:t>
            </w:r>
            <w:r w:rsidR="00816C38" w:rsidRPr="00816C38">
              <w:rPr>
                <w:rFonts w:ascii="Arial" w:hAnsi="Arial" w:cs="Arial"/>
                <w:sz w:val="24"/>
                <w:szCs w:val="24"/>
              </w:rPr>
              <w:t xml:space="preserve"> temática se hará la discusión de los trabajos expuestos en 10 minutos. Los tribunales seleccionarán los mejores trabajos a proponer al Comité Científico del Congreso Universidad 2026 sin límite de cantidad.</w:t>
            </w:r>
            <w:r w:rsidR="00195893">
              <w:rPr>
                <w:rFonts w:ascii="Arial" w:hAnsi="Arial" w:cs="Arial"/>
                <w:sz w:val="24"/>
                <w:szCs w:val="24"/>
              </w:rPr>
              <w:t xml:space="preserve"> Los trabajos seleccionados recibirán la categoría de Destacado. Los tribunales al concluir la sesión del taller deciden los destacados pero posteriormente se les enviará esta información a sus autores por su correo electrónico. </w:t>
            </w:r>
          </w:p>
        </w:tc>
      </w:tr>
    </w:tbl>
    <w:p w:rsidR="00195893" w:rsidRDefault="00195893" w:rsidP="004C5206">
      <w:pPr>
        <w:jc w:val="center"/>
        <w:rPr>
          <w:rFonts w:ascii="Arial" w:hAnsi="Arial" w:cs="Arial"/>
          <w:b/>
          <w:sz w:val="24"/>
          <w:szCs w:val="24"/>
        </w:rPr>
      </w:pPr>
    </w:p>
    <w:p w:rsidR="004C5206" w:rsidRDefault="004C5206" w:rsidP="004C52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TALLER 1</w:t>
      </w:r>
    </w:p>
    <w:p w:rsidR="003B1679" w:rsidRDefault="004C5206" w:rsidP="00543E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Tribunal</w:t>
      </w:r>
    </w:p>
    <w:tbl>
      <w:tblPr>
        <w:tblStyle w:val="Tablaconcuadrcula"/>
        <w:tblW w:w="10163" w:type="dxa"/>
        <w:tblInd w:w="10" w:type="dxa"/>
        <w:tblLook w:val="04A0" w:firstRow="1" w:lastRow="0" w:firstColumn="1" w:lastColumn="0" w:noHBand="0" w:noVBand="1"/>
      </w:tblPr>
      <w:tblGrid>
        <w:gridCol w:w="5939"/>
        <w:gridCol w:w="4224"/>
      </w:tblGrid>
      <w:tr w:rsidR="003B1679" w:rsidRPr="00D84F83" w:rsidTr="004C5206">
        <w:tc>
          <w:tcPr>
            <w:tcW w:w="5939" w:type="dxa"/>
          </w:tcPr>
          <w:p w:rsidR="003B1679" w:rsidRPr="00D84F83" w:rsidRDefault="003B1679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D84F83">
              <w:rPr>
                <w:rFonts w:ascii="Arial" w:hAnsi="Arial" w:cs="Arial"/>
                <w:sz w:val="24"/>
                <w:szCs w:val="24"/>
              </w:rPr>
              <w:t>Dr. C. Alejandro Antuan Díaz Díaz</w:t>
            </w:r>
          </w:p>
        </w:tc>
        <w:tc>
          <w:tcPr>
            <w:tcW w:w="4224" w:type="dxa"/>
          </w:tcPr>
          <w:p w:rsidR="003B1679" w:rsidRPr="00D84F83" w:rsidRDefault="003B1679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D84F83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</w:tr>
      <w:tr w:rsidR="003B1679" w:rsidRPr="00D84F83" w:rsidTr="004C5206">
        <w:tc>
          <w:tcPr>
            <w:tcW w:w="5939" w:type="dxa"/>
          </w:tcPr>
          <w:p w:rsidR="003B1679" w:rsidRPr="00D84F83" w:rsidRDefault="003B1679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D84F83">
              <w:rPr>
                <w:rFonts w:ascii="Arial" w:hAnsi="Arial" w:cs="Arial"/>
                <w:sz w:val="24"/>
                <w:szCs w:val="24"/>
              </w:rPr>
              <w:t>Dr. C. Carlos Rafael Núñez Cairo</w:t>
            </w:r>
          </w:p>
        </w:tc>
        <w:tc>
          <w:tcPr>
            <w:tcW w:w="4224" w:type="dxa"/>
          </w:tcPr>
          <w:p w:rsidR="003B1679" w:rsidRPr="00D84F83" w:rsidRDefault="003B1679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D84F83">
              <w:rPr>
                <w:rFonts w:ascii="Arial" w:hAnsi="Arial" w:cs="Arial"/>
                <w:sz w:val="24"/>
                <w:szCs w:val="24"/>
              </w:rPr>
              <w:t>Vocal</w:t>
            </w:r>
          </w:p>
        </w:tc>
      </w:tr>
      <w:tr w:rsidR="003B1679" w:rsidRPr="00D84F83" w:rsidTr="004C5206">
        <w:tc>
          <w:tcPr>
            <w:tcW w:w="5939" w:type="dxa"/>
          </w:tcPr>
          <w:p w:rsidR="003B1679" w:rsidRPr="00D84F83" w:rsidRDefault="003B1679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D84F83">
              <w:rPr>
                <w:rFonts w:ascii="Arial" w:hAnsi="Arial" w:cs="Arial"/>
                <w:sz w:val="24"/>
                <w:szCs w:val="24"/>
              </w:rPr>
              <w:t>Dra. C. Damasa Irene López Santa Cruz</w:t>
            </w:r>
          </w:p>
        </w:tc>
        <w:tc>
          <w:tcPr>
            <w:tcW w:w="4224" w:type="dxa"/>
          </w:tcPr>
          <w:p w:rsidR="003B1679" w:rsidRPr="00D84F83" w:rsidRDefault="003B1679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D84F83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</w:tbl>
    <w:p w:rsidR="003B1679" w:rsidRDefault="003B167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63" w:type="dxa"/>
        <w:tblInd w:w="10" w:type="dxa"/>
        <w:tblLook w:val="04A0" w:firstRow="1" w:lastRow="0" w:firstColumn="1" w:lastColumn="0" w:noHBand="0" w:noVBand="1"/>
      </w:tblPr>
      <w:tblGrid>
        <w:gridCol w:w="1794"/>
        <w:gridCol w:w="7093"/>
        <w:gridCol w:w="1276"/>
      </w:tblGrid>
      <w:tr w:rsidR="004C5206" w:rsidRPr="00D84F83" w:rsidTr="004C5206">
        <w:tc>
          <w:tcPr>
            <w:tcW w:w="1794" w:type="dxa"/>
          </w:tcPr>
          <w:p w:rsidR="004C5206" w:rsidRPr="00D84F83" w:rsidRDefault="004C5206" w:rsidP="00D8511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Temáticas</w:t>
            </w:r>
          </w:p>
        </w:tc>
        <w:tc>
          <w:tcPr>
            <w:tcW w:w="7093" w:type="dxa"/>
          </w:tcPr>
          <w:p w:rsidR="004C5206" w:rsidRPr="00D84F83" w:rsidRDefault="004C5206" w:rsidP="00D8511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Título del trabajo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y ponente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Horario</w:t>
            </w:r>
          </w:p>
        </w:tc>
      </w:tr>
      <w:tr w:rsidR="004C5206" w:rsidRPr="00D84F83" w:rsidTr="004C5206">
        <w:tc>
          <w:tcPr>
            <w:tcW w:w="1794" w:type="dxa"/>
            <w:vMerge w:val="restart"/>
          </w:tcPr>
          <w:p w:rsidR="004C5206" w:rsidRPr="00D84F83" w:rsidRDefault="004C5206" w:rsidP="003B167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sz w:val="24"/>
                <w:szCs w:val="24"/>
              </w:rPr>
              <w:t>El uso de las TIC en el proceso de enseñanza-aprendizaje</w:t>
            </w:r>
          </w:p>
        </w:tc>
        <w:tc>
          <w:tcPr>
            <w:tcW w:w="7093" w:type="dxa"/>
          </w:tcPr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Ideas metodológicas para el empleo del Aula Virtual de Salud en la docencia universitaria.</w:t>
            </w:r>
          </w:p>
          <w:p w:rsidR="004C5206" w:rsidRPr="00D84F83" w:rsidRDefault="004C5206" w:rsidP="003B16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Juan Fundora Lliteras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9:00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9:05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Concepción pedagógica para la formación de docentes en posgrado, enfocada en el uso del aula virtual y la creación de recursos digitales en la facultad Manuel Fajardo </w:t>
            </w:r>
          </w:p>
          <w:p w:rsidR="00195893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Octavio Danel Ruas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9:05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9:10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desarrollo de competencias digitales docentes, en el Aula Virtual de Salud, bajo un enfoque desarrollador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Adys Hortensia Salgado Friol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9:10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9:15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El entorno virtual como vía para el mejoramiento de los procederes tecnológicos de Mamografía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Verónica Ramos Suárez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9:15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9:20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Autoevaluación a través del Aula Virtual de Salud 2024-2025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Agustín Rodríguez Soto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9:20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9:25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VE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  <w:lang w:val="es-VE"/>
              </w:rPr>
              <w:t>Utilización del aula virtual de salud en la disciplina preparación para la defensa en la carrera de Estomatología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VE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Jorge Luis Campistrous Lavaut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9:25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9:30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</w:tcPr>
          <w:p w:rsidR="004C5206" w:rsidRPr="00D84F83" w:rsidRDefault="004C5206" w:rsidP="003B16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VE"/>
              </w:rPr>
              <w:t>Discusión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9:30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9:40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br w:type="page"/>
              <w:t xml:space="preserve">Estrategia didáctica para la enseñanza de inteligencia artificial mediante los cursos electivos en la carrera de medicina de la facultad Manuel Fajardo durante los cursos 2024 y 2025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Octavio Danel Ruas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9:40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9:45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La Inteligencia Artificial como herramienta de la Gestión del Conocimiento en los procesos universitarios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V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Marco Octavio Urda Bordoy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9:45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9:50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VE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Estrategia para la aplicación de la Inteligencia artificial en la Facultad de Ciencias Médicas 10 de octubre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Loraine M. Frutos Morales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9:50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9:55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</w:tcPr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Discusión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9:55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10.05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Serie Multimedias Cardiología I Ruidos y Soplos cardiacos y Cardiología II Diagnostico de Arritmias cardiacas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Ricardo Fernández Rodríguez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10.05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10:10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Ciberviolencia en la adolescencia  y los entornos formativos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Esther Izquierdo Machín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10:10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10:15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Gestión de las Tecnologías de la Información y las Comunicaciones e Investigación en la Facultad Enrique Cabrera de UCMH </w:t>
            </w:r>
          </w:p>
          <w:p w:rsidR="000F2B6D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Yanet Trujillo Baldoquín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10:15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10:20</w:t>
            </w:r>
          </w:p>
        </w:tc>
      </w:tr>
      <w:tr w:rsidR="004C5206" w:rsidRPr="00D84F83" w:rsidTr="004C5206">
        <w:tc>
          <w:tcPr>
            <w:tcW w:w="1794" w:type="dxa"/>
            <w:vMerge w:val="restart"/>
            <w:tcBorders>
              <w:top w:val="nil"/>
            </w:tcBorders>
          </w:tcPr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Una alternativa de marco de referencia de institución educativa digitalmente competente para la Facultad Preparatoria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Julio Pedro Vázquez Conde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10:20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10:25</w:t>
            </w:r>
          </w:p>
        </w:tc>
      </w:tr>
      <w:tr w:rsidR="004C5206" w:rsidRPr="00D84F83" w:rsidTr="004C5206">
        <w:tc>
          <w:tcPr>
            <w:tcW w:w="1794" w:type="dxa"/>
            <w:vMerge/>
            <w:tcBorders>
              <w:top w:val="nil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Integración de los recursos educativos digitales para las asignaturas de la disciplina Medicina General Integral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Lina Mendoza Rodríguez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10:25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10.30</w:t>
            </w:r>
          </w:p>
        </w:tc>
      </w:tr>
      <w:tr w:rsidR="004C5206" w:rsidRPr="00D84F83" w:rsidTr="004C5206">
        <w:tc>
          <w:tcPr>
            <w:tcW w:w="1794" w:type="dxa"/>
            <w:vMerge/>
            <w:tcBorders>
              <w:top w:val="nil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video educativo como alternativa para la evaluación en la asignatura Introducción a la Clínca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Lerisbel Cejas Acosta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10.30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10.35</w:t>
            </w:r>
          </w:p>
        </w:tc>
      </w:tr>
      <w:tr w:rsidR="004C5206" w:rsidRPr="00D84F83" w:rsidTr="004C5206">
        <w:tc>
          <w:tcPr>
            <w:tcW w:w="1794" w:type="dxa"/>
            <w:vMerge/>
            <w:tcBorders>
              <w:top w:val="nil"/>
              <w:bottom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</w:tcPr>
          <w:p w:rsidR="004C5206" w:rsidRPr="00D84F83" w:rsidRDefault="004C5206" w:rsidP="003B16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Discusión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10:35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10:45</w:t>
            </w:r>
          </w:p>
        </w:tc>
      </w:tr>
      <w:tr w:rsidR="004C5206" w:rsidRPr="00D84F83" w:rsidTr="004C5206">
        <w:tc>
          <w:tcPr>
            <w:tcW w:w="88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C5206" w:rsidRPr="00D84F83" w:rsidRDefault="004C5206" w:rsidP="00D84F8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Receso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10:45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11:15</w:t>
            </w:r>
          </w:p>
        </w:tc>
      </w:tr>
      <w:tr w:rsidR="004C5206" w:rsidRPr="00D84F83" w:rsidTr="004C5206">
        <w:tc>
          <w:tcPr>
            <w:tcW w:w="1794" w:type="dxa"/>
            <w:vMerge w:val="restart"/>
          </w:tcPr>
          <w:p w:rsidR="004C5206" w:rsidRPr="00D84F83" w:rsidRDefault="004C5206" w:rsidP="00D84F8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sz w:val="24"/>
                <w:szCs w:val="24"/>
              </w:rPr>
              <w:t xml:space="preserve">La gestión de la CTI en función de la </w:t>
            </w:r>
            <w:r w:rsidRPr="00D84F83">
              <w:rPr>
                <w:rFonts w:ascii="Arial" w:hAnsi="Arial" w:cs="Arial"/>
                <w:sz w:val="24"/>
                <w:szCs w:val="24"/>
              </w:rPr>
              <w:lastRenderedPageBreak/>
              <w:t>formación de los profesionales de la salud</w:t>
            </w: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El proceso investigativo de los docentes en la Facultad de Ciencias Médicas “Julio Trigo”. 2018-2022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Roberto Rodríguez Travieso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11:15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11:20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Formación de habilidades investigativas en la carrera de Medicina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Imandra María García Méndez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11:20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11:25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Pr="00A6383F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383F">
              <w:rPr>
                <w:rFonts w:ascii="Arial" w:hAnsi="Arial" w:cs="Arial"/>
                <w:color w:val="000000" w:themeColor="text1"/>
                <w:sz w:val="24"/>
                <w:szCs w:val="24"/>
              </w:rPr>
              <w:t>Isla Ciencia. Ciencia innovación y desarrollo x una sonrisa saludable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383F">
              <w:rPr>
                <w:rFonts w:ascii="Arial" w:hAnsi="Arial" w:cs="Arial"/>
                <w:color w:val="000000" w:themeColor="text1"/>
                <w:sz w:val="24"/>
                <w:szCs w:val="24"/>
              </w:rPr>
              <w:t>Ponente: Rosa María Montano Silva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11:25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vAlign w:val="center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Universidad de Excelencia desde la gestión de los subsistemas del Sistema de Ciencia, Tecnología e Innovación 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Orlando Sánchez Reyes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11:30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11:35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  <w:vAlign w:val="center"/>
          </w:tcPr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Sistema de Gestión de la Propiedad Intelectual en la Universidad de Ciencias Médicas de La Habana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Orlando Sánchez Reyes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11:35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11:40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  <w:vAlign w:val="center"/>
          </w:tcPr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Discusión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11:40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11:50</w:t>
            </w:r>
          </w:p>
        </w:tc>
      </w:tr>
      <w:tr w:rsidR="004C5206" w:rsidRPr="00D84F83" w:rsidTr="004C5206">
        <w:tc>
          <w:tcPr>
            <w:tcW w:w="1794" w:type="dxa"/>
            <w:vMerge w:val="restart"/>
          </w:tcPr>
          <w:p w:rsidR="004C5206" w:rsidRPr="00D84F83" w:rsidRDefault="004C5206" w:rsidP="00D84F8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sz w:val="24"/>
                <w:szCs w:val="24"/>
              </w:rPr>
              <w:t>La formación de valores como parte del trabajo político ideológico en la universidad</w:t>
            </w: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 w:rsidRPr="00D84F8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La educación en valores con el empleo del aprendizaje cooperativo en los procesos formativos de las carreras de la salud desde una perspectiva comunicacional</w:t>
            </w:r>
          </w:p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María Miladys Rojas Izquierdo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11:50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11:55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 comunicación como parte del proceso de educación en valores </w:t>
            </w:r>
          </w:p>
          <w:p w:rsidR="004C5206" w:rsidRPr="00D84F83" w:rsidRDefault="004C5206" w:rsidP="003B167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="008D7476" w:rsidRPr="008D7476">
              <w:rPr>
                <w:rFonts w:ascii="Arial" w:hAnsi="Arial" w:cs="Arial"/>
                <w:sz w:val="24"/>
                <w:szCs w:val="24"/>
              </w:rPr>
              <w:t>Yaima Bell Belauste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11:55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</w:tcPr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Los predictores del talento médico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Manuel Villanueva Betancourt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12:00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12:05</w:t>
            </w:r>
          </w:p>
        </w:tc>
      </w:tr>
      <w:tr w:rsidR="004C5206" w:rsidRPr="00D84F83" w:rsidTr="004C5206">
        <w:tc>
          <w:tcPr>
            <w:tcW w:w="1794" w:type="dxa"/>
            <w:vMerge/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  <w:vAlign w:val="center"/>
          </w:tcPr>
          <w:p w:rsidR="004C5206" w:rsidRPr="00D84F83" w:rsidRDefault="004C5206" w:rsidP="003B1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Discusión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12:05</w:t>
            </w:r>
          </w:p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12:15</w:t>
            </w:r>
          </w:p>
        </w:tc>
      </w:tr>
      <w:tr w:rsidR="004C5206" w:rsidRPr="00D84F83" w:rsidTr="004C5206">
        <w:tc>
          <w:tcPr>
            <w:tcW w:w="8887" w:type="dxa"/>
            <w:gridSpan w:val="2"/>
            <w:tcBorders>
              <w:right w:val="single" w:sz="4" w:space="0" w:color="auto"/>
            </w:tcBorders>
          </w:tcPr>
          <w:p w:rsidR="004C5206" w:rsidRPr="00D84F83" w:rsidRDefault="004C5206" w:rsidP="00D84F8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Conclusiones del taller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5206" w:rsidRPr="00D84F83" w:rsidRDefault="004C5206" w:rsidP="003B167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F83">
              <w:rPr>
                <w:rFonts w:ascii="Arial" w:hAnsi="Arial" w:cs="Arial"/>
                <w:color w:val="000000" w:themeColor="text1"/>
                <w:sz w:val="24"/>
                <w:szCs w:val="24"/>
              </w:rPr>
              <w:t>12:15</w:t>
            </w:r>
          </w:p>
        </w:tc>
      </w:tr>
    </w:tbl>
    <w:p w:rsidR="003B1679" w:rsidRDefault="003B1679">
      <w:pPr>
        <w:rPr>
          <w:rFonts w:ascii="Arial" w:hAnsi="Arial" w:cs="Arial"/>
          <w:b/>
          <w:sz w:val="24"/>
          <w:szCs w:val="24"/>
        </w:rPr>
      </w:pPr>
    </w:p>
    <w:p w:rsidR="000C4E05" w:rsidRDefault="000C4E05" w:rsidP="004C5206">
      <w:pPr>
        <w:jc w:val="center"/>
        <w:rPr>
          <w:rFonts w:ascii="Arial" w:hAnsi="Arial" w:cs="Arial"/>
          <w:b/>
          <w:sz w:val="24"/>
          <w:szCs w:val="24"/>
        </w:rPr>
      </w:pPr>
    </w:p>
    <w:p w:rsidR="004C5206" w:rsidRDefault="004C5206" w:rsidP="004C52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TALLER 2</w:t>
      </w:r>
    </w:p>
    <w:p w:rsidR="004C5206" w:rsidRDefault="004C52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Tribunal</w:t>
      </w:r>
    </w:p>
    <w:tbl>
      <w:tblPr>
        <w:tblStyle w:val="Tablaconcuadrcula"/>
        <w:tblW w:w="10163" w:type="dxa"/>
        <w:tblInd w:w="10" w:type="dxa"/>
        <w:tblLook w:val="04A0" w:firstRow="1" w:lastRow="0" w:firstColumn="1" w:lastColumn="0" w:noHBand="0" w:noVBand="1"/>
      </w:tblPr>
      <w:tblGrid>
        <w:gridCol w:w="5939"/>
        <w:gridCol w:w="4224"/>
      </w:tblGrid>
      <w:tr w:rsidR="004C5206" w:rsidRPr="004C5206" w:rsidTr="004C5206">
        <w:tc>
          <w:tcPr>
            <w:tcW w:w="5939" w:type="dxa"/>
          </w:tcPr>
          <w:p w:rsidR="004C5206" w:rsidRPr="004C5206" w:rsidRDefault="004C5206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4C5206">
              <w:rPr>
                <w:rFonts w:ascii="Arial" w:hAnsi="Arial" w:cs="Arial"/>
                <w:sz w:val="24"/>
                <w:szCs w:val="24"/>
              </w:rPr>
              <w:t>Dra. C. Arahí Sixto Pérez</w:t>
            </w:r>
          </w:p>
        </w:tc>
        <w:tc>
          <w:tcPr>
            <w:tcW w:w="4224" w:type="dxa"/>
            <w:vAlign w:val="center"/>
          </w:tcPr>
          <w:p w:rsidR="004C5206" w:rsidRPr="004C5206" w:rsidRDefault="004C5206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4C5206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</w:tr>
      <w:tr w:rsidR="004C5206" w:rsidRPr="004C5206" w:rsidTr="004C5206">
        <w:tc>
          <w:tcPr>
            <w:tcW w:w="5939" w:type="dxa"/>
          </w:tcPr>
          <w:p w:rsidR="004C5206" w:rsidRPr="004C5206" w:rsidRDefault="004C5206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4C5206">
              <w:rPr>
                <w:rFonts w:ascii="Arial" w:hAnsi="Arial" w:cs="Arial"/>
                <w:sz w:val="24"/>
                <w:szCs w:val="24"/>
              </w:rPr>
              <w:t>Dr. C. René Oramas González</w:t>
            </w:r>
          </w:p>
        </w:tc>
        <w:tc>
          <w:tcPr>
            <w:tcW w:w="4224" w:type="dxa"/>
          </w:tcPr>
          <w:p w:rsidR="004C5206" w:rsidRPr="004C5206" w:rsidRDefault="004C5206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4C5206">
              <w:rPr>
                <w:rFonts w:ascii="Arial" w:hAnsi="Arial" w:cs="Arial"/>
                <w:sz w:val="24"/>
                <w:szCs w:val="24"/>
              </w:rPr>
              <w:t>Vocal</w:t>
            </w:r>
          </w:p>
        </w:tc>
      </w:tr>
      <w:tr w:rsidR="004C5206" w:rsidRPr="004C5206" w:rsidTr="004C5206">
        <w:tc>
          <w:tcPr>
            <w:tcW w:w="5939" w:type="dxa"/>
          </w:tcPr>
          <w:p w:rsidR="004C5206" w:rsidRPr="004C5206" w:rsidRDefault="004C5206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4C5206">
              <w:rPr>
                <w:rFonts w:ascii="Arial" w:hAnsi="Arial" w:cs="Arial"/>
                <w:sz w:val="24"/>
                <w:szCs w:val="24"/>
              </w:rPr>
              <w:t xml:space="preserve">Dr. C. Julio Pedro Vázquez Conde </w:t>
            </w:r>
          </w:p>
        </w:tc>
        <w:tc>
          <w:tcPr>
            <w:tcW w:w="4224" w:type="dxa"/>
          </w:tcPr>
          <w:p w:rsidR="004C5206" w:rsidRPr="004C5206" w:rsidRDefault="004C5206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4C5206">
              <w:rPr>
                <w:rFonts w:ascii="Arial" w:hAnsi="Arial" w:cs="Arial"/>
                <w:sz w:val="24"/>
                <w:szCs w:val="24"/>
              </w:rPr>
              <w:t>Secretario</w:t>
            </w:r>
          </w:p>
        </w:tc>
      </w:tr>
    </w:tbl>
    <w:p w:rsidR="004C5206" w:rsidRDefault="004C520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63" w:type="dxa"/>
        <w:tblInd w:w="10" w:type="dxa"/>
        <w:tblLook w:val="04A0" w:firstRow="1" w:lastRow="0" w:firstColumn="1" w:lastColumn="0" w:noHBand="0" w:noVBand="1"/>
      </w:tblPr>
      <w:tblGrid>
        <w:gridCol w:w="1783"/>
        <w:gridCol w:w="7114"/>
        <w:gridCol w:w="1266"/>
      </w:tblGrid>
      <w:tr w:rsidR="00F3319A" w:rsidRPr="006C4CEB" w:rsidTr="00F3319A">
        <w:tc>
          <w:tcPr>
            <w:tcW w:w="1783" w:type="dxa"/>
          </w:tcPr>
          <w:p w:rsidR="00F3319A" w:rsidRPr="006C4CEB" w:rsidRDefault="006C4CEB" w:rsidP="00D851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sz w:val="24"/>
                <w:szCs w:val="24"/>
              </w:rPr>
              <w:t>Temáticas</w:t>
            </w:r>
          </w:p>
        </w:tc>
        <w:tc>
          <w:tcPr>
            <w:tcW w:w="7114" w:type="dxa"/>
          </w:tcPr>
          <w:p w:rsidR="00F3319A" w:rsidRPr="006C4CEB" w:rsidRDefault="00F3319A" w:rsidP="00D851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sz w:val="24"/>
                <w:szCs w:val="24"/>
              </w:rPr>
              <w:t>Título del trabajo y ponente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F3319A" w:rsidRPr="006C4CEB" w:rsidRDefault="00F3319A" w:rsidP="004C52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</w:tr>
      <w:tr w:rsidR="000C4E05" w:rsidRPr="006C4CEB" w:rsidTr="00F3319A">
        <w:tc>
          <w:tcPr>
            <w:tcW w:w="1783" w:type="dxa"/>
            <w:vMerge w:val="restart"/>
          </w:tcPr>
          <w:p w:rsidR="000C4E05" w:rsidRPr="006C4CEB" w:rsidRDefault="000C4E05" w:rsidP="00F331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Resultados de programas de formación de maestrías y doctorados</w:t>
            </w:r>
          </w:p>
        </w:tc>
        <w:tc>
          <w:tcPr>
            <w:tcW w:w="7114" w:type="dxa"/>
          </w:tcPr>
          <w:p w:rsidR="000C4E05" w:rsidRPr="006C4CEB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Desempeño de egresados en tres programas de maestría de Salud Pública.</w:t>
            </w:r>
          </w:p>
          <w:p w:rsidR="000C4E05" w:rsidRPr="006C4CEB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 Silvia Martínez Calvo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9:00</w:t>
            </w:r>
          </w:p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9:05</w:t>
            </w:r>
          </w:p>
        </w:tc>
      </w:tr>
      <w:tr w:rsidR="000C4E05" w:rsidRPr="006C4CEB" w:rsidTr="00F3319A">
        <w:tc>
          <w:tcPr>
            <w:tcW w:w="1783" w:type="dxa"/>
            <w:vMerge/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0C4E05" w:rsidRPr="00A6383F" w:rsidRDefault="000C4E05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638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Estrategia de formación doctoral en la FCMIJ </w:t>
            </w:r>
          </w:p>
          <w:p w:rsidR="000C4E05" w:rsidRPr="006C4CEB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A6383F">
              <w:rPr>
                <w:rFonts w:ascii="Arial" w:hAnsi="Arial" w:cs="Arial"/>
                <w:color w:val="000000" w:themeColor="text1"/>
                <w:sz w:val="24"/>
                <w:szCs w:val="24"/>
              </w:rPr>
              <w:t>Ponente: Bárbara Zenaida Pérez Pérez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9:05</w:t>
            </w:r>
          </w:p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</w:tr>
      <w:tr w:rsidR="000C4E05" w:rsidRPr="006C4CEB" w:rsidTr="00F3319A">
        <w:tc>
          <w:tcPr>
            <w:tcW w:w="1783" w:type="dxa"/>
            <w:vMerge/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0C4E05" w:rsidRPr="006C4CEB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Impacto de la maestría en Prevención del uso indebido de drogas</w:t>
            </w:r>
          </w:p>
          <w:p w:rsidR="000C4E05" w:rsidRPr="006C4CEB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Justo Reinaldo Fabelo Roche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9:10</w:t>
            </w:r>
          </w:p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9:15</w:t>
            </w:r>
          </w:p>
        </w:tc>
      </w:tr>
      <w:tr w:rsidR="000C4E05" w:rsidRPr="006C4CEB" w:rsidTr="00F3319A">
        <w:tc>
          <w:tcPr>
            <w:tcW w:w="1783" w:type="dxa"/>
            <w:vMerge/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0C4E05" w:rsidRPr="006C4CEB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Resultados de la estrategia de formación doctoral en la Facultad de Ciencias Médicas Enrique Cabrera enero 2022-abril 2025</w:t>
            </w:r>
            <w:r w:rsidRPr="006C4C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4E05" w:rsidRPr="006C4CEB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Lutgarda López Balboa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9:15</w:t>
            </w:r>
          </w:p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9:20</w:t>
            </w:r>
          </w:p>
        </w:tc>
      </w:tr>
      <w:tr w:rsidR="000C4E05" w:rsidRPr="006C4CEB" w:rsidTr="00F3319A">
        <w:tc>
          <w:tcPr>
            <w:tcW w:w="1783" w:type="dxa"/>
            <w:vMerge/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0C4E05" w:rsidRPr="006C4CEB" w:rsidRDefault="000C4E05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Modelo para el diseño curricular de programas de maestrías en el mejoramiento  de la cultura profesional en la atención estomatológica </w:t>
            </w:r>
          </w:p>
          <w:p w:rsidR="000C4E05" w:rsidRPr="006C4CEB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</w:rPr>
              <w:t>Ponente: Mildres Maday Pausa Carmenates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9:20</w:t>
            </w:r>
          </w:p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</w:tr>
      <w:tr w:rsidR="000C4E05" w:rsidRPr="006C4CEB" w:rsidTr="002B2BC9">
        <w:tc>
          <w:tcPr>
            <w:tcW w:w="1783" w:type="dxa"/>
            <w:vMerge w:val="restart"/>
            <w:tcBorders>
              <w:top w:val="nil"/>
            </w:tcBorders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Borders>
              <w:right w:val="single" w:sz="4" w:space="0" w:color="auto"/>
            </w:tcBorders>
            <w:vAlign w:val="center"/>
          </w:tcPr>
          <w:p w:rsidR="000C4E05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3710C1">
              <w:rPr>
                <w:rFonts w:ascii="Arial" w:hAnsi="Arial" w:cs="Arial"/>
                <w:sz w:val="24"/>
                <w:szCs w:val="24"/>
              </w:rPr>
              <w:t>Evaluación de la maestría en aterosclerosis del CIRAH y sus efectos en la formación profesional de sus egresados</w:t>
            </w:r>
          </w:p>
          <w:p w:rsidR="000C4E05" w:rsidRPr="003710C1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Osana de la Caridad Eiriz García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C4E05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9:25</w:t>
            </w:r>
          </w:p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0C4E05" w:rsidRPr="006C4CEB" w:rsidTr="00473E46">
        <w:tc>
          <w:tcPr>
            <w:tcW w:w="1783" w:type="dxa"/>
            <w:vMerge/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Borders>
              <w:right w:val="single" w:sz="4" w:space="0" w:color="auto"/>
            </w:tcBorders>
            <w:vAlign w:val="center"/>
          </w:tcPr>
          <w:p w:rsidR="000C4E05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Maestría en investigación en Aterosclerosis: Resultados de 20 años</w:t>
            </w:r>
          </w:p>
          <w:p w:rsidR="000C4E05" w:rsidRPr="003710C1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Marlene Ferrer Arrocha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C4E05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0C4E05" w:rsidRPr="006C4CEB" w:rsidTr="006C4CEB">
        <w:tc>
          <w:tcPr>
            <w:tcW w:w="1783" w:type="dxa"/>
            <w:vMerge/>
            <w:tcBorders>
              <w:bottom w:val="single" w:sz="4" w:space="0" w:color="auto"/>
            </w:tcBorders>
          </w:tcPr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Borders>
              <w:right w:val="single" w:sz="4" w:space="0" w:color="auto"/>
            </w:tcBorders>
            <w:vAlign w:val="center"/>
          </w:tcPr>
          <w:p w:rsidR="000C4E05" w:rsidRDefault="000C4E05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sz w:val="24"/>
                <w:szCs w:val="24"/>
              </w:rPr>
              <w:t>Discusión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C4E05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6C4CEB" w:rsidRPr="006C4CEB" w:rsidTr="006C4CEB">
        <w:tc>
          <w:tcPr>
            <w:tcW w:w="1783" w:type="dxa"/>
            <w:vMerge w:val="restart"/>
            <w:tcBorders>
              <w:top w:val="single" w:sz="4" w:space="0" w:color="auto"/>
            </w:tcBorders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La superación de los docentes para una mayor calidad del proceso docente educativo</w:t>
            </w:r>
          </w:p>
        </w:tc>
        <w:tc>
          <w:tcPr>
            <w:tcW w:w="7114" w:type="dxa"/>
            <w:tcBorders>
              <w:right w:val="single" w:sz="4" w:space="0" w:color="auto"/>
            </w:tcBorders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br w:type="page"/>
              <w:t xml:space="preserve">El desempeño profesional pedagógico de los docentes en el diseño de los programas de superación 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Yanet Vera Garrucho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  <w:p w:rsidR="000C4E05" w:rsidRPr="006C4CEB" w:rsidRDefault="000C4E05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C512C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C4CEB" w:rsidRPr="006C4CEB" w:rsidTr="00D85116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Fundamentos y estructura de una estrategia de superaciòn en acupuntura para neurocirujanos 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Ponente: Yamilia Menèndez Zapata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9:55</w:t>
            </w:r>
          </w:p>
        </w:tc>
      </w:tr>
      <w:tr w:rsidR="006C4CEB" w:rsidRPr="006C4CEB" w:rsidTr="00D85116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Caracterización de la preparación de los docentes para la orientación profesional en la carrera de medicina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Laritza García Mesa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6C4CEB" w:rsidRPr="006C4CEB" w:rsidTr="00D85116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2A7DB8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Estrategia de superación para el desarrollo de la educación bioética en </w:t>
            </w:r>
            <w:r w:rsidRPr="002A7DB8">
              <w:rPr>
                <w:rFonts w:ascii="Arial" w:hAnsi="Arial" w:cs="Arial"/>
                <w:sz w:val="24"/>
                <w:szCs w:val="24"/>
              </w:rPr>
              <w:t>docentes de la Facultad de Tecnología de la Salud</w:t>
            </w:r>
          </w:p>
          <w:p w:rsidR="006C4CEB" w:rsidRPr="006C4CEB" w:rsidRDefault="006C4CEB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7DB8">
              <w:rPr>
                <w:rFonts w:ascii="Arial" w:hAnsi="Arial" w:cs="Arial"/>
                <w:sz w:val="24"/>
                <w:szCs w:val="24"/>
              </w:rPr>
              <w:t xml:space="preserve">Ponente: </w:t>
            </w:r>
            <w:r w:rsidR="002A7DB8" w:rsidRPr="002A7DB8">
              <w:rPr>
                <w:rFonts w:ascii="Arial" w:hAnsi="Arial" w:cs="Arial"/>
                <w:sz w:val="24"/>
                <w:szCs w:val="24"/>
              </w:rPr>
              <w:t>Geraldo Luis Valdés Pérez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</w:t>
            </w:r>
          </w:p>
        </w:tc>
      </w:tr>
      <w:tr w:rsidR="006C4CEB" w:rsidRPr="006C4CEB" w:rsidTr="00D85116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Educación bioética como estrategia de superación para docentes de la Facultad de Tecnología de la Salud </w:t>
            </w:r>
          </w:p>
          <w:p w:rsidR="006C4CEB" w:rsidRPr="006C4CEB" w:rsidRDefault="006C4CEB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="00C77CEA" w:rsidRPr="002A7DB8">
              <w:rPr>
                <w:rFonts w:ascii="Arial" w:hAnsi="Arial" w:cs="Arial"/>
                <w:sz w:val="24"/>
                <w:szCs w:val="24"/>
              </w:rPr>
              <w:t>Geraldo Luis Valdés Pérez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</w:t>
            </w:r>
          </w:p>
        </w:tc>
      </w:tr>
      <w:tr w:rsidR="006C4CEB" w:rsidRPr="006C4CEB" w:rsidTr="00D85116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</w:rPr>
              <w:t>Valoración de los resultados de la aplicación de una estrategia de superación para profesores de lengua inglesa</w:t>
            </w:r>
            <w:r w:rsidRPr="006C4C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Ponente: Yasser Rodríguez Mesa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</w:t>
            </w:r>
          </w:p>
        </w:tc>
      </w:tr>
      <w:tr w:rsidR="006C4CEB" w:rsidRPr="006C4CEB" w:rsidTr="00D85116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Borders>
              <w:left w:val="single" w:sz="4" w:space="0" w:color="auto"/>
            </w:tcBorders>
          </w:tcPr>
          <w:p w:rsidR="006C4CEB" w:rsidRPr="006C4CEB" w:rsidRDefault="006C4CEB" w:rsidP="00F331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Discusión</w:t>
            </w:r>
          </w:p>
        </w:tc>
        <w:tc>
          <w:tcPr>
            <w:tcW w:w="1266" w:type="dxa"/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Profesionalización: proceso de preparación permanente y continuada</w:t>
            </w:r>
          </w:p>
          <w:p w:rsidR="006C4CEB" w:rsidRPr="006C4CEB" w:rsidRDefault="006C4CEB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Laura Hurtado Gascín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 xml:space="preserve">Modelo para el mejoramiento del desempeño profesional, los modos de actuación y la formación permanente y continuada del especialista en medicina familiar  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Maritza Díaz Molleda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10:35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 xml:space="preserve">Metodología para evaluar el componente educativo desde el trabajo metodológico del colectivo de año en la carrera de Medicina 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Yamila Lafaurie Ochoa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10:40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Borders>
              <w:right w:val="single" w:sz="4" w:space="0" w:color="auto"/>
            </w:tcBorders>
          </w:tcPr>
          <w:p w:rsidR="006C4CEB" w:rsidRPr="006C4CEB" w:rsidRDefault="006C4CEB" w:rsidP="00F331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sz w:val="24"/>
                <w:szCs w:val="24"/>
              </w:rPr>
              <w:t xml:space="preserve">Discusión 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</w:t>
            </w:r>
          </w:p>
        </w:tc>
      </w:tr>
      <w:tr w:rsidR="006C4CEB" w:rsidRPr="006C4CEB" w:rsidTr="00D85116">
        <w:tc>
          <w:tcPr>
            <w:tcW w:w="8897" w:type="dxa"/>
            <w:gridSpan w:val="2"/>
            <w:tcBorders>
              <w:right w:val="single" w:sz="4" w:space="0" w:color="auto"/>
            </w:tcBorders>
          </w:tcPr>
          <w:p w:rsidR="006C4CEB" w:rsidRPr="006C4CEB" w:rsidRDefault="006C4CEB" w:rsidP="006C4C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</w:t>
            </w:r>
          </w:p>
        </w:tc>
      </w:tr>
      <w:tr w:rsidR="006C4CEB" w:rsidRPr="006C4CEB" w:rsidTr="00F3319A">
        <w:tc>
          <w:tcPr>
            <w:tcW w:w="1783" w:type="dxa"/>
            <w:vMerge w:val="restart"/>
          </w:tcPr>
          <w:p w:rsidR="006C4CEB" w:rsidRPr="006C4CEB" w:rsidRDefault="006C4CEB" w:rsidP="006C4C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 xml:space="preserve">La relación universidad-sociedad en la </w:t>
            </w:r>
            <w:r w:rsidRPr="006C4CEB">
              <w:rPr>
                <w:rFonts w:ascii="Arial" w:hAnsi="Arial" w:cs="Arial"/>
                <w:sz w:val="24"/>
                <w:szCs w:val="24"/>
              </w:rPr>
              <w:lastRenderedPageBreak/>
              <w:t>formación de los profesionales de la salud</w:t>
            </w: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lastRenderedPageBreak/>
              <w:t xml:space="preserve">Estrategia Educativa para el desarrollo de habilidades en la prevención del uso de drogas en adolescentes y jóvenes 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Leiter Acosta Queralta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 xml:space="preserve">Gestión Sanitaria de Enfermería para el fomento de un liderazgo efectivo 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Joel Leiva Rodríguez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11:25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Afrontamiento y adaptación en personas con afección oncohematológicas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Cosset Yanira Delgado Campanon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El cuidado cultural y su concepción histórico social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Yorbel Santos Bell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11:35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 xml:space="preserve">La comunicación organizacional desde la academia 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Margarita Ruiz Blanco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La comunicación escuela-familia, pilar fundamental para el trabajo educativo con estudiantes de la enseñanza técnico profesional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Mercedes González Matienzo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Sensibilización desde la Bioética de funcionarios involucrados en la reinserción social constructiva de ex reclusos.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Lisbet Alemán Murga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Borders>
              <w:right w:val="single" w:sz="4" w:space="0" w:color="auto"/>
            </w:tcBorders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sz w:val="24"/>
                <w:szCs w:val="24"/>
              </w:rPr>
              <w:t xml:space="preserve">Discusión 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</w:tr>
      <w:tr w:rsidR="006C4CEB" w:rsidRPr="006C4CEB" w:rsidTr="006C4CEB">
        <w:tc>
          <w:tcPr>
            <w:tcW w:w="1783" w:type="dxa"/>
            <w:vMerge w:val="restart"/>
            <w:tcBorders>
              <w:top w:val="nil"/>
            </w:tcBorders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Borders>
              <w:right w:val="single" w:sz="4" w:space="0" w:color="auto"/>
            </w:tcBorders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 xml:space="preserve">Formación de habilidades para la Promoción de salud en la carrera de Medicina 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Ernesto Melardo Taño Espinosa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12:05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Diseño de una estrategia didáctica para desarrollar habilidades comunicativas en la relación estomatólogo-paciente</w:t>
            </w:r>
          </w:p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  <w:t>Ponente:</w:t>
            </w: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Mohamed Azis Pérez Caldevilla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12:10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Sensibilización desde la Bioética de funcionarios involucrados en la reinserción social constructiva de ex reclusos. </w:t>
            </w:r>
          </w:p>
          <w:p w:rsidR="006C4CEB" w:rsidRPr="006C4CEB" w:rsidRDefault="006C4CEB" w:rsidP="00F3319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DO"/>
              </w:rPr>
            </w:pPr>
            <w:r w:rsidRPr="006C4C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="00C77CEA" w:rsidRPr="00C77CEA">
              <w:rPr>
                <w:rFonts w:ascii="Arial" w:hAnsi="Arial" w:cs="Arial"/>
                <w:sz w:val="24"/>
                <w:szCs w:val="24"/>
              </w:rPr>
              <w:t>Llemel López Torres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12:10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 xml:space="preserve">El riñón y su repercusión en el estado hemodinámico de crías de ratas con insuficiencia vascular placentaria </w:t>
            </w:r>
          </w:p>
          <w:p w:rsidR="006C4CEB" w:rsidRPr="006C4CEB" w:rsidRDefault="006C4CEB" w:rsidP="00F3319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Ponente: Adina Pérez Mejías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12:15</w:t>
            </w:r>
          </w:p>
          <w:p w:rsidR="00C512C0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12:20</w:t>
            </w:r>
          </w:p>
        </w:tc>
      </w:tr>
      <w:tr w:rsidR="006C4CEB" w:rsidRPr="006C4CEB" w:rsidTr="00F3319A">
        <w:tc>
          <w:tcPr>
            <w:tcW w:w="1783" w:type="dxa"/>
            <w:vMerge/>
          </w:tcPr>
          <w:p w:rsidR="006C4CEB" w:rsidRPr="006C4CEB" w:rsidRDefault="006C4CEB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Borders>
              <w:right w:val="single" w:sz="4" w:space="0" w:color="auto"/>
            </w:tcBorders>
          </w:tcPr>
          <w:p w:rsidR="006C4CEB" w:rsidRPr="006C4CEB" w:rsidRDefault="006C4CEB" w:rsidP="00F3319A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sz w:val="24"/>
                <w:szCs w:val="24"/>
              </w:rPr>
              <w:t xml:space="preserve">Discusión 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12:20</w:t>
            </w:r>
          </w:p>
          <w:p w:rsidR="00C512C0" w:rsidRPr="006C4CEB" w:rsidRDefault="00C512C0" w:rsidP="00C512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</w:tr>
      <w:tr w:rsidR="006C4CEB" w:rsidRPr="006C4CEB" w:rsidTr="00D85116">
        <w:tc>
          <w:tcPr>
            <w:tcW w:w="8897" w:type="dxa"/>
            <w:gridSpan w:val="2"/>
            <w:tcBorders>
              <w:right w:val="single" w:sz="4" w:space="0" w:color="auto"/>
            </w:tcBorders>
          </w:tcPr>
          <w:p w:rsidR="006C4CEB" w:rsidRPr="006C4CEB" w:rsidRDefault="006C4CEB" w:rsidP="006C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b/>
                <w:sz w:val="24"/>
                <w:szCs w:val="24"/>
              </w:rPr>
              <w:t>Conclusiones del taller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6C4CEB" w:rsidRPr="006C4CEB" w:rsidRDefault="00C512C0" w:rsidP="00F33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</w:tr>
    </w:tbl>
    <w:p w:rsidR="000C4E05" w:rsidRDefault="000C4E05">
      <w:pPr>
        <w:rPr>
          <w:rFonts w:ascii="Arial" w:hAnsi="Arial" w:cs="Arial"/>
          <w:b/>
          <w:sz w:val="24"/>
          <w:szCs w:val="24"/>
        </w:rPr>
      </w:pPr>
    </w:p>
    <w:p w:rsidR="00A6383F" w:rsidRDefault="00A6383F" w:rsidP="006C4CEB">
      <w:pPr>
        <w:jc w:val="center"/>
        <w:rPr>
          <w:rFonts w:ascii="Arial" w:hAnsi="Arial" w:cs="Arial"/>
          <w:b/>
          <w:sz w:val="24"/>
          <w:szCs w:val="24"/>
        </w:rPr>
      </w:pPr>
    </w:p>
    <w:p w:rsidR="006C4CEB" w:rsidRDefault="006C4CEB" w:rsidP="006C4C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TALLER 3</w:t>
      </w:r>
    </w:p>
    <w:p w:rsidR="006C4CEB" w:rsidRDefault="006C4CEB" w:rsidP="006C4C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Tribunal</w:t>
      </w:r>
    </w:p>
    <w:tbl>
      <w:tblPr>
        <w:tblStyle w:val="Tablaconcuadrcula"/>
        <w:tblW w:w="10163" w:type="dxa"/>
        <w:tblInd w:w="10" w:type="dxa"/>
        <w:tblLook w:val="04A0" w:firstRow="1" w:lastRow="0" w:firstColumn="1" w:lastColumn="0" w:noHBand="0" w:noVBand="1"/>
      </w:tblPr>
      <w:tblGrid>
        <w:gridCol w:w="5939"/>
        <w:gridCol w:w="4224"/>
      </w:tblGrid>
      <w:tr w:rsidR="006C4CEB" w:rsidRPr="006C4CEB" w:rsidTr="006C4CEB">
        <w:tc>
          <w:tcPr>
            <w:tcW w:w="5939" w:type="dxa"/>
          </w:tcPr>
          <w:p w:rsidR="006C4CEB" w:rsidRPr="006C4CEB" w:rsidRDefault="006C4CEB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Dr. C. Juan Manuel Cala Corrales</w:t>
            </w:r>
          </w:p>
        </w:tc>
        <w:tc>
          <w:tcPr>
            <w:tcW w:w="4224" w:type="dxa"/>
          </w:tcPr>
          <w:p w:rsidR="006C4CEB" w:rsidRPr="006C4CEB" w:rsidRDefault="006C4CEB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</w:tr>
      <w:tr w:rsidR="006C4CEB" w:rsidRPr="006C4CEB" w:rsidTr="006C4CEB">
        <w:tc>
          <w:tcPr>
            <w:tcW w:w="5939" w:type="dxa"/>
          </w:tcPr>
          <w:p w:rsidR="006C4CEB" w:rsidRPr="006C4CEB" w:rsidRDefault="006C4CEB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Dr. C. Lorenzo Pablo Camejo Ramos</w:t>
            </w:r>
          </w:p>
        </w:tc>
        <w:tc>
          <w:tcPr>
            <w:tcW w:w="4224" w:type="dxa"/>
          </w:tcPr>
          <w:p w:rsidR="006C4CEB" w:rsidRPr="006C4CEB" w:rsidRDefault="006C4CEB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Vocal</w:t>
            </w:r>
          </w:p>
        </w:tc>
      </w:tr>
      <w:tr w:rsidR="006C4CEB" w:rsidRPr="006C4CEB" w:rsidTr="006C4CEB">
        <w:tc>
          <w:tcPr>
            <w:tcW w:w="5939" w:type="dxa"/>
          </w:tcPr>
          <w:p w:rsidR="006C4CEB" w:rsidRPr="006C4CEB" w:rsidRDefault="006C4CEB" w:rsidP="00A6383F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 xml:space="preserve">Dra. C. </w:t>
            </w:r>
            <w:r w:rsidR="00A6383F">
              <w:rPr>
                <w:rFonts w:ascii="Arial" w:hAnsi="Arial" w:cs="Arial"/>
                <w:sz w:val="24"/>
                <w:szCs w:val="24"/>
              </w:rPr>
              <w:t>Amarys Tamayo Torres</w:t>
            </w:r>
          </w:p>
        </w:tc>
        <w:tc>
          <w:tcPr>
            <w:tcW w:w="4224" w:type="dxa"/>
          </w:tcPr>
          <w:p w:rsidR="006C4CEB" w:rsidRPr="006C4CEB" w:rsidRDefault="006C4CEB" w:rsidP="00D85116">
            <w:pPr>
              <w:rPr>
                <w:rFonts w:ascii="Arial" w:hAnsi="Arial" w:cs="Arial"/>
                <w:sz w:val="24"/>
                <w:szCs w:val="24"/>
              </w:rPr>
            </w:pPr>
            <w:r w:rsidRPr="006C4CEB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</w:tbl>
    <w:p w:rsidR="006C4CEB" w:rsidRDefault="006C4CEB" w:rsidP="006C4CE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75" w:type="dxa"/>
        <w:tblInd w:w="10" w:type="dxa"/>
        <w:tblLook w:val="04A0" w:firstRow="1" w:lastRow="0" w:firstColumn="1" w:lastColumn="0" w:noHBand="0" w:noVBand="1"/>
      </w:tblPr>
      <w:tblGrid>
        <w:gridCol w:w="1844"/>
        <w:gridCol w:w="7045"/>
        <w:gridCol w:w="1274"/>
        <w:gridCol w:w="12"/>
      </w:tblGrid>
      <w:tr w:rsidR="009B1DB7" w:rsidRPr="009B1DB7" w:rsidTr="009B1DB7">
        <w:trPr>
          <w:gridAfter w:val="1"/>
          <w:wAfter w:w="12" w:type="dxa"/>
        </w:trPr>
        <w:tc>
          <w:tcPr>
            <w:tcW w:w="1799" w:type="dxa"/>
          </w:tcPr>
          <w:p w:rsidR="009B1DB7" w:rsidRPr="009B1DB7" w:rsidRDefault="009B1DB7" w:rsidP="00D851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DB7">
              <w:rPr>
                <w:rFonts w:ascii="Arial" w:hAnsi="Arial" w:cs="Arial"/>
                <w:b/>
                <w:sz w:val="24"/>
                <w:szCs w:val="24"/>
              </w:rPr>
              <w:t>Temáticas</w:t>
            </w:r>
          </w:p>
        </w:tc>
        <w:tc>
          <w:tcPr>
            <w:tcW w:w="7088" w:type="dxa"/>
          </w:tcPr>
          <w:p w:rsidR="009B1DB7" w:rsidRPr="009B1DB7" w:rsidRDefault="009B1DB7" w:rsidP="00D851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DB7">
              <w:rPr>
                <w:rFonts w:ascii="Arial" w:hAnsi="Arial" w:cs="Arial"/>
                <w:b/>
                <w:sz w:val="24"/>
                <w:szCs w:val="24"/>
              </w:rPr>
              <w:t>Título del trabajo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D851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DB7"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 w:val="restart"/>
          </w:tcPr>
          <w:p w:rsidR="009B1DB7" w:rsidRPr="009B1DB7" w:rsidRDefault="009B1DB7" w:rsidP="009B1D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La especialización posgraduada </w:t>
            </w:r>
            <w:r w:rsidRPr="009B1DB7">
              <w:rPr>
                <w:rFonts w:ascii="Arial" w:hAnsi="Arial" w:cs="Arial"/>
                <w:sz w:val="24"/>
                <w:szCs w:val="24"/>
              </w:rPr>
              <w:lastRenderedPageBreak/>
              <w:t>de los profesionales de la salud</w:t>
            </w: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lastRenderedPageBreak/>
              <w:t xml:space="preserve">Estudio comparado del programa de la especialidad de Organización y Administración de Salud 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Liam Machado Bibilonia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9:00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9:05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El trabajo de terminación de especialidad y su publicación. Características de sus autores 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Jorge Luis Calero Ricardo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9:05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Impacto de las especialidades estomatológicas de la UCMH 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>Ponente: Liudmila Martel Rojas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9:10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9:15</w:t>
            </w:r>
          </w:p>
        </w:tc>
      </w:tr>
      <w:tr w:rsidR="009B1DB7" w:rsidRPr="009B1DB7" w:rsidTr="009B1DB7">
        <w:trPr>
          <w:gridAfter w:val="1"/>
          <w:wAfter w:w="12" w:type="dxa"/>
          <w:trHeight w:val="477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b/>
                <w:sz w:val="24"/>
                <w:szCs w:val="24"/>
              </w:rPr>
              <w:t>Discusión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9:15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9:25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 w:val="restart"/>
          </w:tcPr>
          <w:p w:rsidR="009B1DB7" w:rsidRPr="009B1DB7" w:rsidRDefault="009B1DB7" w:rsidP="009B1D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La formación académica desde la concepción de nuevas estrategias de enseñanza-aprendizaje</w:t>
            </w:r>
          </w:p>
        </w:tc>
        <w:tc>
          <w:tcPr>
            <w:tcW w:w="7088" w:type="dxa"/>
            <w:vAlign w:val="center"/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Guía orientadora para las clases prácticas de la asignatura Introducción a la Clínica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Mayra Agramonte Martínez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9:25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Sistema de acciones para fortalecer la comprensión auditiva Ponente: Ana Iris Testa Gonzalez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9:30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Aprendizaje basado en problemas en la asignatura Genética Médica en la Facultad de Ciencias Médicas Manuel fajardo. Ponente: Maritza Domínguez Méndez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9:35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Comprensión-expresión en estudiantes de medicina desde la asignatura Historia de Cuba 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Olga Lydia Paz Figueroa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9:40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9B1DB7" w:rsidRPr="009B1DB7" w:rsidRDefault="009B1DB7" w:rsidP="009B1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DB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de-DE"/>
              </w:rPr>
              <w:t>Discusión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9:45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9:55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keepNext/>
              <w:keepLines/>
              <w:tabs>
                <w:tab w:val="left" w:pos="340"/>
                <w:tab w:val="left" w:pos="680"/>
              </w:tabs>
              <w:outlineLvl w:val="0"/>
              <w:rPr>
                <w:rFonts w:ascii="Arial" w:eastAsia="Times New Roman" w:hAnsi="Arial" w:cs="Arial"/>
                <w:bCs/>
                <w:snapToGrid w:val="0"/>
                <w:color w:val="000000" w:themeColor="text1"/>
                <w:sz w:val="24"/>
                <w:szCs w:val="24"/>
                <w:lang w:val="es-VE" w:eastAsia="ja-JP"/>
              </w:rPr>
            </w:pPr>
            <w:r w:rsidRPr="009B1DB7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Satisfacción con la docencia de la disciplina Marxismo Leninismo en la Facultad de Estomatología  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>Ponente: Bernardo Manuel  Núñez Pérez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9:55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Mejoramiento del desempeño académico y acreditación de carrera e institución.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Isidoro Alejandro Solernou Mesa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10:00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10:05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Clima socio psicológico y cambio del proceso docente educativo, carrera de medicina Facultad “Miguel Enríquez”.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Cruz María Frómeta Rodríguez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10:05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10:10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La cultura de los estudiantes de Enfermería 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Tania Minerva Pérez Valladares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10:10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10:05</w:t>
            </w:r>
          </w:p>
        </w:tc>
      </w:tr>
      <w:tr w:rsidR="009B1DB7" w:rsidRPr="009B1DB7" w:rsidTr="009B1DB7">
        <w:trPr>
          <w:gridAfter w:val="1"/>
          <w:wAfter w:w="12" w:type="dxa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b/>
                <w:sz w:val="24"/>
                <w:szCs w:val="24"/>
              </w:rPr>
              <w:t>Discusión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10:05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10:15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  <w:t xml:space="preserve">Evaluación de los libros de texto básicos del segundo  año de carrera de Estomatología. </w:t>
            </w: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>Ponente: Orietta Valverde Grandal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10:15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10:20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Resultados del proyecto: Perfeccionamiento de los instrumentos evaluativos parciales. Disciplina Investigaciones Diagnósticas. Período 2023-2024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</w:t>
            </w:r>
            <w:r w:rsidRPr="009B1DB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Nancy Petra Ríos Hidalgo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10:20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10:25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Primera versión de la aplicación de nuevos instrumentos evaluativos en la asignatura Genética Médica</w:t>
            </w:r>
            <w:r w:rsidRPr="009B1DB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Ponente: Dianet Minaberriet Avellaneda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10:25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Resultados de la aplicación de nuevos instrumentos evaluativos en la asignatura Microbiología y Parasitología Médicas</w:t>
            </w:r>
          </w:p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</w:t>
            </w:r>
            <w:r w:rsidRPr="009B1DB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María Julia Valdés Hernández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10:30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10:35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9B1DB7" w:rsidRPr="009B1DB7" w:rsidRDefault="009B1DB7" w:rsidP="009B1DB7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pt-BR"/>
              </w:rPr>
            </w:pPr>
            <w:r w:rsidRPr="009B1DB7">
              <w:rPr>
                <w:rFonts w:ascii="Arial" w:hAnsi="Arial" w:cs="Arial"/>
                <w:b/>
                <w:sz w:val="24"/>
                <w:szCs w:val="24"/>
              </w:rPr>
              <w:t>Discusión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10:35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10:45</w:t>
            </w:r>
          </w:p>
        </w:tc>
      </w:tr>
      <w:tr w:rsidR="009B1DB7" w:rsidRPr="009B1DB7" w:rsidTr="009B1DB7">
        <w:tc>
          <w:tcPr>
            <w:tcW w:w="8887" w:type="dxa"/>
            <w:gridSpan w:val="2"/>
            <w:tcBorders>
              <w:righ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1DB7">
              <w:rPr>
                <w:rFonts w:ascii="Arial" w:hAnsi="Arial" w:cs="Arial"/>
                <w:b/>
                <w:sz w:val="24"/>
                <w:szCs w:val="24"/>
              </w:rPr>
              <w:t>Receso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10.45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11:15</w:t>
            </w:r>
          </w:p>
        </w:tc>
      </w:tr>
      <w:tr w:rsidR="009B1DB7" w:rsidRPr="009B1DB7" w:rsidTr="009B1DB7">
        <w:tc>
          <w:tcPr>
            <w:tcW w:w="1799" w:type="dxa"/>
            <w:vMerge w:val="restart"/>
          </w:tcPr>
          <w:p w:rsidR="009B1DB7" w:rsidRPr="009B1DB7" w:rsidRDefault="009B1DB7" w:rsidP="009B1D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lastRenderedPageBreak/>
              <w:t>Las ciencias de la salud en la formación de los profesionales de las diferentes especialidades</w:t>
            </w:r>
          </w:p>
        </w:tc>
        <w:tc>
          <w:tcPr>
            <w:tcW w:w="7088" w:type="dxa"/>
          </w:tcPr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La sexualidad, una aproximación teórica desde lo clásico a lo contemporáneo </w:t>
            </w:r>
          </w:p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Alejandro Fadragas Fernández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11:15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11:20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Default="003D6301" w:rsidP="009B1DB7">
            <w:pPr>
              <w:tabs>
                <w:tab w:val="left" w:pos="147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D6301">
              <w:rPr>
                <w:rFonts w:ascii="Arial" w:hAnsi="Arial" w:cs="Arial"/>
                <w:color w:val="000000" w:themeColor="text1"/>
                <w:sz w:val="24"/>
                <w:szCs w:val="24"/>
              </w:rPr>
              <w:t>La comunicación intercultural en Tecnología de la Salud</w:t>
            </w:r>
          </w:p>
          <w:p w:rsidR="003D6301" w:rsidRPr="003D6301" w:rsidRDefault="003D6301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Ponente: </w:t>
            </w:r>
            <w:r w:rsidRPr="003D6301">
              <w:rPr>
                <w:rFonts w:ascii="Arial" w:hAnsi="Arial" w:cs="Arial"/>
                <w:color w:val="000000" w:themeColor="text1"/>
                <w:sz w:val="24"/>
                <w:szCs w:val="24"/>
              </w:rPr>
              <w:t>Yuleiky Rodríguez Sánchez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11:20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11:25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La gestión económica financiera en Tecnología de la Salud </w:t>
            </w:r>
          </w:p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Ponente: Juan </w:t>
            </w: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>Carlos Páez Valdés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11:25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Roles de la semiótica y la hermenéutica analógica en la Tecnología de la Salud. </w:t>
            </w:r>
          </w:p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>Ponente: Leonil Barcelona Pérez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11:30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11:35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  <w:right w:val="single" w:sz="4" w:space="0" w:color="auto"/>
            </w:tcBorders>
          </w:tcPr>
          <w:p w:rsidR="009B1DB7" w:rsidRPr="009B1DB7" w:rsidRDefault="009B1DB7" w:rsidP="009B1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D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Discusión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11:35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11:45</w:t>
            </w:r>
          </w:p>
        </w:tc>
      </w:tr>
      <w:tr w:rsidR="009B1DB7" w:rsidRPr="009B1DB7" w:rsidTr="009B1DB7">
        <w:trPr>
          <w:trHeight w:val="821"/>
        </w:trPr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Default="00B3023A" w:rsidP="009B1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Modelo teórico para las competencias profesionales específicas en el internado vertical de Pediatría</w:t>
            </w:r>
          </w:p>
          <w:p w:rsidR="00B3023A" w:rsidRPr="009B1DB7" w:rsidRDefault="00B3023A" w:rsidP="009B1D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Ponente: Dagmaris Losa Pérez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11:45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9B1DB7" w:rsidRPr="009B1DB7" w:rsidTr="009B1DB7">
        <w:tc>
          <w:tcPr>
            <w:tcW w:w="1799" w:type="dxa"/>
            <w:vMerge w:val="restart"/>
            <w:tcBorders>
              <w:top w:val="nil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2A7DB8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Procedimiento operacional para la conservación de la Membrana </w:t>
            </w:r>
            <w:r w:rsidRPr="002A7DB8">
              <w:rPr>
                <w:rFonts w:ascii="Arial" w:hAnsi="Arial" w:cs="Arial"/>
                <w:sz w:val="24"/>
                <w:szCs w:val="24"/>
              </w:rPr>
              <w:t>Amniótica Humana de uso veterinario.</w:t>
            </w:r>
          </w:p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7DB8">
              <w:rPr>
                <w:rFonts w:ascii="Arial" w:hAnsi="Arial" w:cs="Arial"/>
                <w:sz w:val="24"/>
                <w:szCs w:val="24"/>
              </w:rPr>
              <w:t xml:space="preserve">Ponente: </w:t>
            </w:r>
            <w:r w:rsidR="002A7DB8" w:rsidRPr="002A7DB8">
              <w:rPr>
                <w:rFonts w:ascii="Arial" w:hAnsi="Arial" w:cs="Arial"/>
                <w:sz w:val="24"/>
                <w:szCs w:val="24"/>
              </w:rPr>
              <w:t>Emilio Barcelona Colas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11:50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11:55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Uso de la cervicometría y el índice de consistencia cervical en la predicción de la prematuridad. </w:t>
            </w:r>
          </w:p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color w:val="000000" w:themeColor="text1"/>
                <w:sz w:val="24"/>
                <w:szCs w:val="24"/>
              </w:rPr>
              <w:t>Ponente: Eliany Regalado Rodríguez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11:55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La formación en ciencias básicas biomédicas en Cuba. Avances y nuevos retos </w:t>
            </w:r>
          </w:p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Agustín Guillermo Vicedo Tomey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12:00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12:05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Biomodelo de diabetes mellitus para estudios de complicaciones en órganos diana </w:t>
            </w:r>
          </w:p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Tammy Fernández Romero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12:05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12:10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 xml:space="preserve">Hacia un modelo de profesionalización sociocultural en la Escuela Latinoaméricana de Medicina </w:t>
            </w:r>
          </w:p>
          <w:p w:rsidR="009B1DB7" w:rsidRPr="009B1DB7" w:rsidRDefault="009B1DB7" w:rsidP="009B1DB7">
            <w:pPr>
              <w:tabs>
                <w:tab w:val="left" w:pos="1473"/>
              </w:tabs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Ponente: Lorenzo Pablo Camejo Ramos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12:10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12:15</w:t>
            </w:r>
          </w:p>
        </w:tc>
      </w:tr>
      <w:tr w:rsidR="009B1DB7" w:rsidRPr="009B1DB7" w:rsidTr="009B1DB7">
        <w:tc>
          <w:tcPr>
            <w:tcW w:w="1799" w:type="dxa"/>
            <w:vMerge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:rsidR="009B1DB7" w:rsidRPr="009B1DB7" w:rsidRDefault="009B1DB7" w:rsidP="009B1DB7">
            <w:pPr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b/>
                <w:sz w:val="24"/>
                <w:szCs w:val="24"/>
              </w:rPr>
              <w:t>Discusión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12:15</w:t>
            </w:r>
          </w:p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12:25</w:t>
            </w:r>
          </w:p>
        </w:tc>
      </w:tr>
      <w:tr w:rsidR="009B1DB7" w:rsidRPr="009B1DB7" w:rsidTr="009B1DB7">
        <w:trPr>
          <w:trHeight w:val="237"/>
        </w:trPr>
        <w:tc>
          <w:tcPr>
            <w:tcW w:w="88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b/>
                <w:sz w:val="24"/>
                <w:szCs w:val="24"/>
              </w:rPr>
              <w:t>Conclusiones del taller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B7" w:rsidRPr="009B1DB7" w:rsidRDefault="009B1DB7" w:rsidP="009B1D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DB7">
              <w:rPr>
                <w:rFonts w:ascii="Arial" w:hAnsi="Arial" w:cs="Arial"/>
                <w:sz w:val="24"/>
                <w:szCs w:val="24"/>
              </w:rPr>
              <w:t>12:25</w:t>
            </w:r>
          </w:p>
        </w:tc>
      </w:tr>
    </w:tbl>
    <w:p w:rsidR="006C4CEB" w:rsidRPr="00A478ED" w:rsidRDefault="006C4CEB" w:rsidP="006C4CEB">
      <w:pPr>
        <w:jc w:val="center"/>
        <w:rPr>
          <w:rFonts w:ascii="Arial" w:hAnsi="Arial" w:cs="Arial"/>
          <w:b/>
          <w:sz w:val="24"/>
          <w:szCs w:val="24"/>
        </w:rPr>
      </w:pPr>
    </w:p>
    <w:sectPr w:rsidR="006C4CEB" w:rsidRPr="00A478ED" w:rsidSect="00195893">
      <w:type w:val="continuous"/>
      <w:pgSz w:w="12240" w:h="15840" w:code="1"/>
      <w:pgMar w:top="851" w:right="851" w:bottom="851" w:left="1134" w:header="709" w:footer="709" w:gutter="0"/>
      <w:cols w:space="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C1" w:rsidRDefault="003710C1" w:rsidP="001F4E22">
      <w:pPr>
        <w:spacing w:after="0" w:line="240" w:lineRule="auto"/>
      </w:pPr>
      <w:r>
        <w:separator/>
      </w:r>
    </w:p>
  </w:endnote>
  <w:endnote w:type="continuationSeparator" w:id="0">
    <w:p w:rsidR="003710C1" w:rsidRDefault="003710C1" w:rsidP="001F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C1" w:rsidRDefault="003710C1" w:rsidP="001F4E22">
      <w:pPr>
        <w:spacing w:after="0" w:line="240" w:lineRule="auto"/>
      </w:pPr>
      <w:r>
        <w:separator/>
      </w:r>
    </w:p>
  </w:footnote>
  <w:footnote w:type="continuationSeparator" w:id="0">
    <w:p w:rsidR="003710C1" w:rsidRDefault="003710C1" w:rsidP="001F4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VE" w:vendorID="64" w:dllVersion="131078" w:nlCheck="1" w:checkStyle="1"/>
  <w:activeWritingStyle w:appName="MSWord" w:lang="en-US" w:vendorID="64" w:dllVersion="131078" w:nlCheck="1" w:checkStyle="1"/>
  <w:activeWritingStyle w:appName="MSWord" w:lang="es-DO" w:vendorID="64" w:dllVersion="131078" w:nlCheck="1" w:checkStyle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8ED"/>
    <w:rsid w:val="00004FEA"/>
    <w:rsid w:val="0002025F"/>
    <w:rsid w:val="00073DDF"/>
    <w:rsid w:val="000A71E3"/>
    <w:rsid w:val="000C4E05"/>
    <w:rsid w:val="000C7A6E"/>
    <w:rsid w:val="000F2B6D"/>
    <w:rsid w:val="000F6D6A"/>
    <w:rsid w:val="0013207E"/>
    <w:rsid w:val="0016378A"/>
    <w:rsid w:val="00195882"/>
    <w:rsid w:val="00195893"/>
    <w:rsid w:val="001F4E22"/>
    <w:rsid w:val="00213518"/>
    <w:rsid w:val="002A7DB8"/>
    <w:rsid w:val="003710C1"/>
    <w:rsid w:val="003B1679"/>
    <w:rsid w:val="003D6301"/>
    <w:rsid w:val="003F2137"/>
    <w:rsid w:val="00427C67"/>
    <w:rsid w:val="00447A6F"/>
    <w:rsid w:val="004C5206"/>
    <w:rsid w:val="004D087F"/>
    <w:rsid w:val="00543E03"/>
    <w:rsid w:val="00547E2E"/>
    <w:rsid w:val="00591E48"/>
    <w:rsid w:val="0060728E"/>
    <w:rsid w:val="0061354F"/>
    <w:rsid w:val="00627639"/>
    <w:rsid w:val="00661664"/>
    <w:rsid w:val="006B63DE"/>
    <w:rsid w:val="006C4CEB"/>
    <w:rsid w:val="007F417C"/>
    <w:rsid w:val="00816C38"/>
    <w:rsid w:val="00833D20"/>
    <w:rsid w:val="008D7476"/>
    <w:rsid w:val="00914E6B"/>
    <w:rsid w:val="00932ED8"/>
    <w:rsid w:val="009A7E09"/>
    <w:rsid w:val="009B1DB7"/>
    <w:rsid w:val="00A478ED"/>
    <w:rsid w:val="00A5759A"/>
    <w:rsid w:val="00A6383F"/>
    <w:rsid w:val="00A63961"/>
    <w:rsid w:val="00AA59DC"/>
    <w:rsid w:val="00B3023A"/>
    <w:rsid w:val="00C512C0"/>
    <w:rsid w:val="00C77CEA"/>
    <w:rsid w:val="00C863E2"/>
    <w:rsid w:val="00D84F83"/>
    <w:rsid w:val="00D85116"/>
    <w:rsid w:val="00F04393"/>
    <w:rsid w:val="00F11991"/>
    <w:rsid w:val="00F3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CEE361-D2D5-4F45-8CB4-1E8DFC29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F4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E22"/>
  </w:style>
  <w:style w:type="paragraph" w:styleId="Piedepgina">
    <w:name w:val="footer"/>
    <w:basedOn w:val="Normal"/>
    <w:link w:val="PiedepginaCar"/>
    <w:uiPriority w:val="99"/>
    <w:unhideWhenUsed/>
    <w:rsid w:val="001F4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2149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Dir. Ciencia y Tec</cp:lastModifiedBy>
  <cp:revision>29</cp:revision>
  <dcterms:created xsi:type="dcterms:W3CDTF">2025-04-16T12:42:00Z</dcterms:created>
  <dcterms:modified xsi:type="dcterms:W3CDTF">2025-04-24T03:49:00Z</dcterms:modified>
</cp:coreProperties>
</file>