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60A" w:rsidRDefault="000326C3" w:rsidP="000326C3">
      <w:pPr>
        <w:jc w:val="center"/>
        <w:rPr>
          <w:b/>
          <w:color w:val="000000"/>
          <w:sz w:val="28"/>
          <w:szCs w:val="28"/>
        </w:rPr>
      </w:pPr>
      <w:r>
        <w:rPr>
          <w:b/>
          <w:color w:val="000000"/>
          <w:sz w:val="28"/>
          <w:szCs w:val="28"/>
        </w:rPr>
        <w:t>Potencialidades del TROPOMI para el estudio de la calidad del aire de la ciudad de Santa Clara.</w:t>
      </w:r>
    </w:p>
    <w:p w:rsidR="000326C3" w:rsidRPr="00D84329" w:rsidRDefault="000326C3" w:rsidP="000326C3">
      <w:pPr>
        <w:jc w:val="center"/>
        <w:rPr>
          <w:sz w:val="24"/>
          <w:szCs w:val="24"/>
        </w:rPr>
      </w:pPr>
    </w:p>
    <w:p w:rsidR="0036460A" w:rsidRPr="00D84329" w:rsidRDefault="0036460A" w:rsidP="0036460A">
      <w:pPr>
        <w:pStyle w:val="Puesto"/>
        <w:spacing w:after="0" w:line="240" w:lineRule="auto"/>
        <w:ind w:left="0" w:right="-1" w:firstLine="0"/>
        <w:rPr>
          <w:i/>
          <w:sz w:val="24"/>
          <w:szCs w:val="24"/>
          <w:lang w:val="es-ES"/>
        </w:rPr>
      </w:pPr>
      <w:r w:rsidRPr="00D84329">
        <w:rPr>
          <w:i/>
          <w:sz w:val="24"/>
          <w:szCs w:val="24"/>
          <w:lang w:val="es-ES"/>
        </w:rPr>
        <w:t>(</w:t>
      </w:r>
      <w:r w:rsidR="000326C3" w:rsidRPr="000326C3">
        <w:rPr>
          <w:i/>
          <w:sz w:val="24"/>
          <w:szCs w:val="24"/>
          <w:lang w:val="es-ES"/>
        </w:rPr>
        <w:t>TROPOMI</w:t>
      </w:r>
      <w:proofErr w:type="gramStart"/>
      <w:r w:rsidR="000326C3" w:rsidRPr="000326C3">
        <w:rPr>
          <w:i/>
          <w:sz w:val="24"/>
          <w:szCs w:val="24"/>
          <w:lang w:val="es-ES"/>
        </w:rPr>
        <w:t>,s</w:t>
      </w:r>
      <w:proofErr w:type="gramEnd"/>
      <w:r w:rsidR="000326C3" w:rsidRPr="000326C3">
        <w:rPr>
          <w:i/>
          <w:sz w:val="24"/>
          <w:szCs w:val="24"/>
          <w:lang w:val="es-ES"/>
        </w:rPr>
        <w:t xml:space="preserve"> </w:t>
      </w:r>
      <w:proofErr w:type="spellStart"/>
      <w:r w:rsidR="000326C3" w:rsidRPr="000326C3">
        <w:rPr>
          <w:i/>
          <w:sz w:val="24"/>
          <w:szCs w:val="24"/>
          <w:lang w:val="es-ES"/>
        </w:rPr>
        <w:t>potencial</w:t>
      </w:r>
      <w:proofErr w:type="spellEnd"/>
      <w:r w:rsidR="000326C3" w:rsidRPr="000326C3">
        <w:rPr>
          <w:i/>
          <w:sz w:val="24"/>
          <w:szCs w:val="24"/>
          <w:lang w:val="es-ES"/>
        </w:rPr>
        <w:t xml:space="preserve"> for </w:t>
      </w:r>
      <w:r w:rsidR="000326C3" w:rsidRPr="000326C3">
        <w:rPr>
          <w:i/>
          <w:sz w:val="24"/>
          <w:szCs w:val="24"/>
          <w:lang w:val="es-ES"/>
        </w:rPr>
        <w:t xml:space="preserve">air </w:t>
      </w:r>
      <w:proofErr w:type="spellStart"/>
      <w:r w:rsidR="000326C3" w:rsidRPr="000326C3">
        <w:rPr>
          <w:i/>
          <w:sz w:val="24"/>
          <w:szCs w:val="24"/>
          <w:lang w:val="es-ES"/>
        </w:rPr>
        <w:t>quality</w:t>
      </w:r>
      <w:proofErr w:type="spellEnd"/>
      <w:r w:rsidR="000326C3" w:rsidRPr="00D84329">
        <w:rPr>
          <w:i/>
          <w:sz w:val="24"/>
          <w:szCs w:val="24"/>
          <w:lang w:val="es-ES"/>
        </w:rPr>
        <w:t xml:space="preserve"> </w:t>
      </w:r>
      <w:proofErr w:type="spellStart"/>
      <w:r w:rsidRPr="00D84329">
        <w:rPr>
          <w:i/>
          <w:sz w:val="24"/>
          <w:szCs w:val="24"/>
          <w:lang w:val="es-ES"/>
        </w:rPr>
        <w:t>Study</w:t>
      </w:r>
      <w:proofErr w:type="spellEnd"/>
      <w:r w:rsidRPr="00D84329">
        <w:rPr>
          <w:i/>
          <w:sz w:val="24"/>
          <w:szCs w:val="24"/>
          <w:lang w:val="es-ES"/>
        </w:rPr>
        <w:t xml:space="preserve"> </w:t>
      </w:r>
      <w:r w:rsidR="000326C3">
        <w:rPr>
          <w:i/>
          <w:sz w:val="24"/>
          <w:szCs w:val="24"/>
          <w:lang w:val="es-ES"/>
        </w:rPr>
        <w:t>in</w:t>
      </w:r>
      <w:r w:rsidRPr="00D84329">
        <w:rPr>
          <w:i/>
          <w:sz w:val="24"/>
          <w:szCs w:val="24"/>
          <w:lang w:val="es-ES"/>
        </w:rPr>
        <w:t xml:space="preserve"> Santa Clara </w:t>
      </w:r>
      <w:proofErr w:type="spellStart"/>
      <w:r w:rsidR="000326C3">
        <w:rPr>
          <w:i/>
          <w:sz w:val="24"/>
          <w:szCs w:val="24"/>
          <w:lang w:val="es-ES"/>
        </w:rPr>
        <w:t>city</w:t>
      </w:r>
      <w:proofErr w:type="spellEnd"/>
      <w:r w:rsidRPr="00D84329">
        <w:rPr>
          <w:i/>
          <w:sz w:val="24"/>
          <w:szCs w:val="24"/>
          <w:lang w:val="es-ES"/>
        </w:rPr>
        <w:t>)</w:t>
      </w:r>
    </w:p>
    <w:p w:rsidR="0036460A" w:rsidRPr="00D84329" w:rsidRDefault="0036460A" w:rsidP="0036460A">
      <w:pPr>
        <w:rPr>
          <w:sz w:val="24"/>
          <w:szCs w:val="24"/>
        </w:rPr>
      </w:pPr>
    </w:p>
    <w:p w:rsidR="0036460A" w:rsidRPr="00D84329" w:rsidRDefault="0036460A" w:rsidP="0036460A">
      <w:pPr>
        <w:ind w:right="-1" w:firstLine="0"/>
        <w:jc w:val="center"/>
        <w:rPr>
          <w:sz w:val="24"/>
          <w:szCs w:val="24"/>
        </w:rPr>
      </w:pPr>
      <w:r w:rsidRPr="00D84329">
        <w:rPr>
          <w:sz w:val="24"/>
          <w:szCs w:val="24"/>
        </w:rPr>
        <w:t xml:space="preserve">Judit García </w:t>
      </w:r>
      <w:proofErr w:type="spellStart"/>
      <w:r w:rsidRPr="00D84329">
        <w:rPr>
          <w:sz w:val="24"/>
          <w:szCs w:val="24"/>
        </w:rPr>
        <w:t>Gonzalez</w:t>
      </w:r>
      <w:proofErr w:type="spellEnd"/>
      <w:r w:rsidRPr="00D84329">
        <w:rPr>
          <w:rStyle w:val="Refdenotaalpie"/>
          <w:sz w:val="24"/>
          <w:szCs w:val="24"/>
          <w:lang w:val="en-US"/>
        </w:rPr>
        <w:footnoteReference w:id="1"/>
      </w:r>
      <w:r w:rsidRPr="00D84329">
        <w:rPr>
          <w:sz w:val="24"/>
          <w:szCs w:val="24"/>
        </w:rPr>
        <w:t>, Luis Orlando Pichardo Moya</w:t>
      </w:r>
      <w:r w:rsidRPr="00D84329">
        <w:rPr>
          <w:rStyle w:val="Refdenotaalpie"/>
          <w:sz w:val="24"/>
          <w:szCs w:val="24"/>
        </w:rPr>
        <w:footnoteReference w:id="2"/>
      </w:r>
    </w:p>
    <w:p w:rsidR="0036460A" w:rsidRPr="00D84329" w:rsidRDefault="0036460A" w:rsidP="0036460A">
      <w:pPr>
        <w:ind w:right="-1" w:firstLine="0"/>
        <w:jc w:val="center"/>
        <w:rPr>
          <w:sz w:val="24"/>
          <w:szCs w:val="24"/>
        </w:rPr>
      </w:pPr>
    </w:p>
    <w:p w:rsidR="0036460A" w:rsidRPr="00D84329" w:rsidRDefault="0036460A" w:rsidP="0036460A">
      <w:pPr>
        <w:pStyle w:val="Sinespaciado"/>
        <w:spacing w:line="240" w:lineRule="auto"/>
        <w:ind w:firstLine="0"/>
        <w:rPr>
          <w:b/>
          <w:sz w:val="24"/>
          <w:szCs w:val="24"/>
        </w:rPr>
      </w:pPr>
    </w:p>
    <w:p w:rsidR="00F30DFC" w:rsidRDefault="00F30DFC" w:rsidP="00F30DFC">
      <w:pPr>
        <w:widowControl w:val="0"/>
        <w:pBdr>
          <w:top w:val="nil"/>
          <w:left w:val="nil"/>
          <w:bottom w:val="nil"/>
          <w:right w:val="nil"/>
          <w:between w:val="nil"/>
        </w:pBdr>
        <w:spacing w:before="479"/>
        <w:ind w:left="578"/>
        <w:rPr>
          <w:b/>
          <w:color w:val="000000"/>
          <w:sz w:val="19"/>
          <w:szCs w:val="19"/>
        </w:rPr>
      </w:pPr>
      <w:r>
        <w:rPr>
          <w:b/>
          <w:color w:val="000000"/>
          <w:sz w:val="19"/>
          <w:szCs w:val="19"/>
        </w:rPr>
        <w:t xml:space="preserve">Resumen: </w:t>
      </w:r>
    </w:p>
    <w:p w:rsidR="00F30DFC" w:rsidRDefault="00F30DFC" w:rsidP="00F30DFC">
      <w:pPr>
        <w:widowControl w:val="0"/>
        <w:pBdr>
          <w:top w:val="nil"/>
          <w:left w:val="nil"/>
          <w:bottom w:val="nil"/>
          <w:right w:val="nil"/>
          <w:between w:val="nil"/>
        </w:pBdr>
        <w:ind w:left="566" w:right="529" w:firstLine="12"/>
        <w:rPr>
          <w:color w:val="000000"/>
          <w:sz w:val="19"/>
          <w:szCs w:val="19"/>
        </w:rPr>
      </w:pPr>
      <w:r>
        <w:rPr>
          <w:color w:val="000000"/>
          <w:sz w:val="19"/>
          <w:szCs w:val="19"/>
        </w:rPr>
        <w:t xml:space="preserve">El monitoreo de la calidad del aire en los países en vías de desarrollo resulta complejo, costoso y poco viable. Sin estos datos resulta improbable implementar un sistema de evaluación y control de la calidad del aire para mitigar el crecimiento desmedido de la contaminación atmosférica. En este trabajo se propone el uso de las potencialidades que ofrece el </w:t>
      </w:r>
      <w:proofErr w:type="spellStart"/>
      <w:r>
        <w:rPr>
          <w:color w:val="000000"/>
          <w:sz w:val="19"/>
          <w:szCs w:val="19"/>
        </w:rPr>
        <w:t>Troposferic</w:t>
      </w:r>
      <w:proofErr w:type="spellEnd"/>
      <w:r>
        <w:rPr>
          <w:color w:val="000000"/>
          <w:sz w:val="19"/>
          <w:szCs w:val="19"/>
        </w:rPr>
        <w:t xml:space="preserve"> </w:t>
      </w:r>
      <w:proofErr w:type="spellStart"/>
      <w:r>
        <w:rPr>
          <w:color w:val="000000"/>
          <w:sz w:val="19"/>
          <w:szCs w:val="19"/>
        </w:rPr>
        <w:t>Monitoring</w:t>
      </w:r>
      <w:proofErr w:type="spellEnd"/>
      <w:r>
        <w:rPr>
          <w:color w:val="000000"/>
          <w:sz w:val="19"/>
          <w:szCs w:val="19"/>
        </w:rPr>
        <w:t xml:space="preserve"> </w:t>
      </w:r>
      <w:proofErr w:type="spellStart"/>
      <w:r>
        <w:rPr>
          <w:color w:val="000000"/>
          <w:sz w:val="19"/>
          <w:szCs w:val="19"/>
        </w:rPr>
        <w:t>Instrument</w:t>
      </w:r>
      <w:proofErr w:type="spellEnd"/>
      <w:r>
        <w:rPr>
          <w:color w:val="000000"/>
          <w:sz w:val="19"/>
          <w:szCs w:val="19"/>
        </w:rPr>
        <w:t xml:space="preserve"> (TROPOMI) a bordo del satélite </w:t>
      </w:r>
      <w:proofErr w:type="spellStart"/>
      <w:r>
        <w:rPr>
          <w:color w:val="000000"/>
          <w:sz w:val="19"/>
          <w:szCs w:val="19"/>
        </w:rPr>
        <w:t>Sentinel</w:t>
      </w:r>
      <w:proofErr w:type="spellEnd"/>
      <w:r>
        <w:rPr>
          <w:color w:val="000000"/>
          <w:sz w:val="19"/>
          <w:szCs w:val="19"/>
        </w:rPr>
        <w:t xml:space="preserve"> 5P de la serie </w:t>
      </w:r>
      <w:proofErr w:type="spellStart"/>
      <w:r>
        <w:rPr>
          <w:color w:val="000000"/>
          <w:sz w:val="19"/>
          <w:szCs w:val="19"/>
        </w:rPr>
        <w:t>Copernicus</w:t>
      </w:r>
      <w:proofErr w:type="spellEnd"/>
      <w:r>
        <w:rPr>
          <w:color w:val="000000"/>
          <w:sz w:val="19"/>
          <w:szCs w:val="19"/>
        </w:rPr>
        <w:t xml:space="preserve"> de la Agencia Espacial Europea. Se identificaron varios elementos de interés de la composición de la atmósfera desde el espacio como son: monóxido de carbono, ozono, dióxido de azufre para evaluar la calidad del aire de la ciudad de Santa Clara, Cuba. El instrumento opera en una configuración de barrido (sin escaneo), con un ancho de franja de ~ 2600 km en la superficie de la Tierra. La presentación de los resultados lo realiza mediante mapas y datos de concentración puntuales, </w:t>
      </w:r>
      <w:proofErr w:type="spellStart"/>
      <w:r>
        <w:rPr>
          <w:color w:val="000000"/>
          <w:sz w:val="19"/>
          <w:szCs w:val="19"/>
        </w:rPr>
        <w:t>areales</w:t>
      </w:r>
      <w:proofErr w:type="spellEnd"/>
      <w:r>
        <w:rPr>
          <w:color w:val="000000"/>
          <w:sz w:val="19"/>
          <w:szCs w:val="19"/>
        </w:rPr>
        <w:t xml:space="preserve"> y territoriales lo que permite identificar la dinámica y distribución geográfica de la contaminación. Se obtuvo gráficas de concentraciones anuales con valores promedio de monóxido de carbono de 0.028032886 mol/m</w:t>
      </w:r>
      <w:r w:rsidRPr="00113F76">
        <w:rPr>
          <w:color w:val="000000"/>
          <w:sz w:val="19"/>
          <w:szCs w:val="19"/>
          <w:vertAlign w:val="superscript"/>
        </w:rPr>
        <w:t>2</w:t>
      </w:r>
      <w:r>
        <w:rPr>
          <w:color w:val="000000"/>
          <w:sz w:val="19"/>
          <w:szCs w:val="19"/>
        </w:rPr>
        <w:t>, ozono con 0.121398365 mol/m</w:t>
      </w:r>
      <w:r w:rsidRPr="00113F76">
        <w:rPr>
          <w:color w:val="000000"/>
          <w:sz w:val="19"/>
          <w:szCs w:val="19"/>
          <w:vertAlign w:val="superscript"/>
        </w:rPr>
        <w:t>2</w:t>
      </w:r>
      <w:r w:rsidRPr="00113F76">
        <w:rPr>
          <w:color w:val="000000"/>
          <w:sz w:val="19"/>
          <w:szCs w:val="19"/>
        </w:rPr>
        <w:t xml:space="preserve"> </w:t>
      </w:r>
      <w:r>
        <w:rPr>
          <w:color w:val="000000"/>
          <w:sz w:val="19"/>
          <w:szCs w:val="19"/>
        </w:rPr>
        <w:t>y dióxido de azufre de 1.39641E-07 mol/m</w:t>
      </w:r>
      <w:r w:rsidRPr="00113F76">
        <w:rPr>
          <w:color w:val="000000"/>
          <w:sz w:val="19"/>
          <w:szCs w:val="19"/>
          <w:vertAlign w:val="superscript"/>
        </w:rPr>
        <w:t>2</w:t>
      </w:r>
      <w:r>
        <w:rPr>
          <w:color w:val="000000"/>
          <w:sz w:val="19"/>
          <w:szCs w:val="19"/>
        </w:rPr>
        <w:t xml:space="preserve">. Además, se obtuvieron mapas de </w:t>
      </w:r>
      <w:r w:rsidRPr="001B3F7B">
        <w:rPr>
          <w:color w:val="000000"/>
          <w:sz w:val="19"/>
          <w:szCs w:val="19"/>
        </w:rPr>
        <w:t>distribución espacial de la concentración de estos contaminantes en la provincia de Villa Clara,</w:t>
      </w:r>
      <w:r>
        <w:rPr>
          <w:color w:val="000000"/>
          <w:sz w:val="19"/>
          <w:szCs w:val="19"/>
        </w:rPr>
        <w:t xml:space="preserve"> cuyos valores se encuentran dentro del rango de valores bajos para el monóxido de carbono y el dióxido de azufre y valores medios</w:t>
      </w:r>
      <w:r w:rsidRPr="00CD0E81">
        <w:t xml:space="preserve"> </w:t>
      </w:r>
      <w:r w:rsidRPr="00CD0E81">
        <w:rPr>
          <w:color w:val="000000"/>
          <w:sz w:val="19"/>
          <w:szCs w:val="19"/>
        </w:rPr>
        <w:t>para el ozono.</w:t>
      </w:r>
      <w:r>
        <w:rPr>
          <w:color w:val="000000"/>
          <w:sz w:val="19"/>
          <w:szCs w:val="19"/>
        </w:rPr>
        <w:t xml:space="preserve">  </w:t>
      </w:r>
    </w:p>
    <w:p w:rsidR="00F30DFC" w:rsidRPr="00113F76" w:rsidRDefault="00F30DFC" w:rsidP="00F30DFC">
      <w:pPr>
        <w:widowControl w:val="0"/>
        <w:pBdr>
          <w:top w:val="nil"/>
          <w:left w:val="nil"/>
          <w:bottom w:val="nil"/>
          <w:right w:val="nil"/>
          <w:between w:val="nil"/>
        </w:pBdr>
        <w:ind w:left="566" w:right="529" w:firstLine="12"/>
        <w:rPr>
          <w:rFonts w:ascii="Times New Roman" w:hAnsi="Times New Roman" w:cs="Times New Roman"/>
          <w:color w:val="0563C1" w:themeColor="hyperlink"/>
          <w:sz w:val="24"/>
          <w:szCs w:val="24"/>
          <w:u w:val="single"/>
          <w:lang w:val="es-419"/>
        </w:rPr>
      </w:pPr>
    </w:p>
    <w:p w:rsidR="00F30DFC" w:rsidRDefault="00F30DFC" w:rsidP="00F30DFC">
      <w:pPr>
        <w:widowControl w:val="0"/>
        <w:pBdr>
          <w:top w:val="nil"/>
          <w:left w:val="nil"/>
          <w:bottom w:val="nil"/>
          <w:right w:val="nil"/>
          <w:between w:val="nil"/>
        </w:pBdr>
        <w:ind w:left="569" w:right="534" w:firstLine="8"/>
        <w:rPr>
          <w:color w:val="000000"/>
          <w:sz w:val="19"/>
          <w:szCs w:val="19"/>
        </w:rPr>
      </w:pPr>
      <w:r>
        <w:rPr>
          <w:b/>
          <w:color w:val="000000"/>
          <w:sz w:val="19"/>
          <w:szCs w:val="19"/>
        </w:rPr>
        <w:t xml:space="preserve">Palabras clave: </w:t>
      </w:r>
      <w:r>
        <w:rPr>
          <w:color w:val="000000"/>
          <w:sz w:val="19"/>
          <w:szCs w:val="19"/>
        </w:rPr>
        <w:t xml:space="preserve">contaminación atmosférica; calidad del aire; monóxido de carbono; ozono; dióxido de azufre. </w:t>
      </w:r>
    </w:p>
    <w:p w:rsidR="00F30DFC" w:rsidRPr="00BD225A" w:rsidRDefault="00F30DFC" w:rsidP="00F30DFC">
      <w:pPr>
        <w:widowControl w:val="0"/>
        <w:pBdr>
          <w:top w:val="nil"/>
          <w:left w:val="nil"/>
          <w:bottom w:val="nil"/>
          <w:right w:val="nil"/>
          <w:between w:val="nil"/>
        </w:pBdr>
        <w:ind w:left="566"/>
        <w:rPr>
          <w:b/>
          <w:color w:val="000000"/>
          <w:sz w:val="19"/>
          <w:szCs w:val="19"/>
        </w:rPr>
      </w:pPr>
    </w:p>
    <w:p w:rsidR="00F30DFC" w:rsidRPr="002208B8" w:rsidRDefault="00F30DFC" w:rsidP="00F30DFC">
      <w:pPr>
        <w:widowControl w:val="0"/>
        <w:pBdr>
          <w:top w:val="nil"/>
          <w:left w:val="nil"/>
          <w:bottom w:val="nil"/>
          <w:right w:val="nil"/>
          <w:between w:val="nil"/>
        </w:pBdr>
        <w:ind w:left="566"/>
        <w:rPr>
          <w:b/>
          <w:color w:val="000000"/>
          <w:sz w:val="19"/>
          <w:szCs w:val="19"/>
          <w:lang w:val="en-US"/>
        </w:rPr>
      </w:pPr>
      <w:r w:rsidRPr="002208B8">
        <w:rPr>
          <w:b/>
          <w:color w:val="000000"/>
          <w:sz w:val="19"/>
          <w:szCs w:val="19"/>
          <w:lang w:val="en-US"/>
        </w:rPr>
        <w:t xml:space="preserve">Abstract: </w:t>
      </w:r>
    </w:p>
    <w:p w:rsidR="00F30DFC" w:rsidRPr="00C73A95" w:rsidRDefault="00F30DFC" w:rsidP="00F30DFC">
      <w:pPr>
        <w:widowControl w:val="0"/>
        <w:pBdr>
          <w:top w:val="nil"/>
          <w:left w:val="nil"/>
          <w:bottom w:val="nil"/>
          <w:right w:val="nil"/>
          <w:between w:val="nil"/>
        </w:pBdr>
        <w:ind w:left="569" w:right="536" w:firstLine="10"/>
        <w:rPr>
          <w:color w:val="000000"/>
          <w:sz w:val="19"/>
          <w:szCs w:val="19"/>
          <w:lang w:val="en-US"/>
        </w:rPr>
      </w:pPr>
      <w:r w:rsidRPr="00C73A95">
        <w:rPr>
          <w:color w:val="000000"/>
          <w:sz w:val="19"/>
          <w:szCs w:val="19"/>
          <w:lang w:val="en-US"/>
        </w:rPr>
        <w:t>Air quality monitoring in developing and least developed countries is complex, costly and impractical. Without these data, it is unlikely to implement an air quality assessment and control system to mitigate the excessive growth of atmospheric pollution. This work proposes the use of the potential of the Tropospheric Monitoring Instrument (TROPOMI) on board the Sentinel 5P satellite of the Copernicus series of the European Space Agency. Several elements of interest of the composition of the atmosphere were identified from space such as: carbon monoxide, ozone, sulfur dioxide to evaluate the air quality of the city of Santa Clara, Cuba. The instrument operates in a swept (non-scanning) configuration, with a swath width of ~ 2600 km on the Earth's surface. The presentation of the results is done by means of maps and point, areal and territorial concentration data, which allows to identify the dynamics and geographical distribution of pollution. The data are downloaded from https://apps.sentinel-hub.com/ and saved in a *.</w:t>
      </w:r>
      <w:proofErr w:type="spellStart"/>
      <w:r w:rsidRPr="00C73A95">
        <w:rPr>
          <w:color w:val="000000"/>
          <w:sz w:val="19"/>
          <w:szCs w:val="19"/>
          <w:lang w:val="en-US"/>
        </w:rPr>
        <w:t>cvs</w:t>
      </w:r>
      <w:proofErr w:type="spellEnd"/>
      <w:r w:rsidRPr="00C73A95">
        <w:rPr>
          <w:color w:val="000000"/>
          <w:sz w:val="19"/>
          <w:szCs w:val="19"/>
          <w:lang w:val="en-US"/>
        </w:rPr>
        <w:t xml:space="preserve"> file. Annual concentration graphs were obtained with average values of carbon monoxide of 0.028032886 </w:t>
      </w:r>
      <w:proofErr w:type="spellStart"/>
      <w:r w:rsidRPr="00C73A95">
        <w:rPr>
          <w:color w:val="000000"/>
          <w:sz w:val="19"/>
          <w:szCs w:val="19"/>
          <w:lang w:val="en-US"/>
        </w:rPr>
        <w:t>mol</w:t>
      </w:r>
      <w:proofErr w:type="spellEnd"/>
      <w:r w:rsidRPr="00C73A95">
        <w:rPr>
          <w:color w:val="000000"/>
          <w:sz w:val="19"/>
          <w:szCs w:val="19"/>
          <w:lang w:val="en-US"/>
        </w:rPr>
        <w:t xml:space="preserve">/m2, ozone with 0.121398365 </w:t>
      </w:r>
      <w:proofErr w:type="spellStart"/>
      <w:r w:rsidRPr="00C73A95">
        <w:rPr>
          <w:color w:val="000000"/>
          <w:sz w:val="19"/>
          <w:szCs w:val="19"/>
          <w:lang w:val="en-US"/>
        </w:rPr>
        <w:t>mol</w:t>
      </w:r>
      <w:proofErr w:type="spellEnd"/>
      <w:r w:rsidRPr="00C73A95">
        <w:rPr>
          <w:color w:val="000000"/>
          <w:sz w:val="19"/>
          <w:szCs w:val="19"/>
          <w:lang w:val="en-US"/>
        </w:rPr>
        <w:t xml:space="preserve">/m2 and sulfur dioxide of 1.39641E-07 </w:t>
      </w:r>
      <w:proofErr w:type="spellStart"/>
      <w:r w:rsidRPr="00C73A95">
        <w:rPr>
          <w:color w:val="000000"/>
          <w:sz w:val="19"/>
          <w:szCs w:val="19"/>
          <w:lang w:val="en-US"/>
        </w:rPr>
        <w:t>mol</w:t>
      </w:r>
      <w:proofErr w:type="spellEnd"/>
      <w:r w:rsidRPr="00C73A95">
        <w:rPr>
          <w:color w:val="000000"/>
          <w:sz w:val="19"/>
          <w:szCs w:val="19"/>
          <w:lang w:val="en-US"/>
        </w:rPr>
        <w:t>/m2. In addition, spatial distribution maps of the concentration of these pollutants in the province of Villa Clara were obtained, whose values are within the range of low values for carbon monoxide and sulfur dioxide and medium values for ozone.</w:t>
      </w:r>
    </w:p>
    <w:p w:rsidR="00F30DFC" w:rsidRPr="00C73A95" w:rsidRDefault="00F30DFC" w:rsidP="00F30DFC">
      <w:pPr>
        <w:widowControl w:val="0"/>
        <w:pBdr>
          <w:top w:val="nil"/>
          <w:left w:val="nil"/>
          <w:bottom w:val="nil"/>
          <w:right w:val="nil"/>
          <w:between w:val="nil"/>
        </w:pBdr>
        <w:ind w:left="569" w:right="536" w:firstLine="10"/>
        <w:rPr>
          <w:color w:val="000000"/>
          <w:sz w:val="19"/>
          <w:szCs w:val="19"/>
          <w:lang w:val="en-US"/>
        </w:rPr>
      </w:pPr>
    </w:p>
    <w:p w:rsidR="00F30DFC" w:rsidRPr="00BD225A" w:rsidRDefault="00F30DFC" w:rsidP="00F30DFC">
      <w:pPr>
        <w:widowControl w:val="0"/>
        <w:pBdr>
          <w:top w:val="nil"/>
          <w:left w:val="nil"/>
          <w:bottom w:val="nil"/>
          <w:right w:val="nil"/>
          <w:between w:val="nil"/>
        </w:pBdr>
        <w:ind w:left="569" w:right="536" w:firstLine="10"/>
        <w:rPr>
          <w:color w:val="000000"/>
          <w:sz w:val="19"/>
          <w:szCs w:val="19"/>
          <w:lang w:val="en-US"/>
        </w:rPr>
      </w:pPr>
    </w:p>
    <w:p w:rsidR="00F30DFC" w:rsidRPr="002208B8" w:rsidRDefault="00F30DFC" w:rsidP="00F30DFC">
      <w:pPr>
        <w:widowControl w:val="0"/>
        <w:pBdr>
          <w:top w:val="nil"/>
          <w:left w:val="nil"/>
          <w:bottom w:val="nil"/>
          <w:right w:val="nil"/>
          <w:between w:val="nil"/>
        </w:pBdr>
        <w:ind w:left="569" w:right="536" w:firstLine="10"/>
        <w:rPr>
          <w:color w:val="000000"/>
          <w:sz w:val="19"/>
          <w:szCs w:val="19"/>
          <w:lang w:val="en-US"/>
        </w:rPr>
      </w:pPr>
      <w:r w:rsidRPr="002208B8">
        <w:rPr>
          <w:b/>
          <w:color w:val="000000"/>
          <w:sz w:val="19"/>
          <w:szCs w:val="19"/>
          <w:lang w:val="en-US"/>
        </w:rPr>
        <w:t xml:space="preserve">Keywords: </w:t>
      </w:r>
      <w:r w:rsidRPr="002208B8">
        <w:rPr>
          <w:color w:val="000000"/>
          <w:sz w:val="19"/>
          <w:szCs w:val="19"/>
          <w:lang w:val="en-US"/>
        </w:rPr>
        <w:t xml:space="preserve">atmospheric pollution, air quality, carbon monoxide, ozone, sulfur dioxide. </w:t>
      </w:r>
    </w:p>
    <w:p w:rsidR="00F30DFC" w:rsidRDefault="00F30DFC" w:rsidP="00F30DFC">
      <w:pPr>
        <w:widowControl w:val="0"/>
        <w:pBdr>
          <w:top w:val="nil"/>
          <w:left w:val="nil"/>
          <w:bottom w:val="nil"/>
          <w:right w:val="nil"/>
          <w:between w:val="nil"/>
        </w:pBdr>
        <w:ind w:left="562"/>
        <w:rPr>
          <w:color w:val="000000"/>
          <w:sz w:val="19"/>
          <w:szCs w:val="19"/>
        </w:rPr>
      </w:pPr>
      <w:r w:rsidRPr="002208B8">
        <w:rPr>
          <w:strike/>
          <w:color w:val="000000"/>
          <w:sz w:val="19"/>
          <w:szCs w:val="19"/>
          <w:lang w:val="en-US"/>
        </w:rPr>
        <w:t xml:space="preserve"> </w:t>
      </w:r>
      <w:r w:rsidRPr="002208B8">
        <w:rPr>
          <w:color w:val="000000"/>
          <w:sz w:val="19"/>
          <w:szCs w:val="19"/>
          <w:lang w:val="en-US"/>
        </w:rPr>
        <w:t xml:space="preserve"> </w:t>
      </w:r>
    </w:p>
    <w:p w:rsidR="0036460A" w:rsidRPr="00D84329" w:rsidRDefault="0036460A" w:rsidP="0036460A">
      <w:pPr>
        <w:jc w:val="left"/>
        <w:rPr>
          <w:sz w:val="24"/>
          <w:szCs w:val="24"/>
          <w:lang w:val="en-US"/>
        </w:rPr>
      </w:pPr>
    </w:p>
    <w:p w:rsidR="00565497" w:rsidRPr="00D84329" w:rsidRDefault="00565497" w:rsidP="0036460A">
      <w:pPr>
        <w:jc w:val="left"/>
        <w:rPr>
          <w:sz w:val="24"/>
          <w:szCs w:val="24"/>
          <w:lang w:val="en-US"/>
        </w:rPr>
      </w:pPr>
    </w:p>
    <w:p w:rsidR="00565497" w:rsidRPr="00D84329" w:rsidRDefault="00565497" w:rsidP="0036460A">
      <w:pPr>
        <w:jc w:val="left"/>
        <w:rPr>
          <w:sz w:val="24"/>
          <w:szCs w:val="24"/>
          <w:lang w:val="en-US"/>
        </w:rPr>
      </w:pPr>
    </w:p>
    <w:p w:rsidR="0036460A" w:rsidRPr="00D84329" w:rsidRDefault="0036460A" w:rsidP="00095505">
      <w:pPr>
        <w:ind w:firstLine="0"/>
        <w:jc w:val="left"/>
        <w:rPr>
          <w:b/>
          <w:sz w:val="24"/>
          <w:szCs w:val="24"/>
        </w:rPr>
      </w:pPr>
      <w:r w:rsidRPr="00D84329">
        <w:rPr>
          <w:b/>
          <w:sz w:val="24"/>
          <w:szCs w:val="24"/>
        </w:rPr>
        <w:t>1. Introducción</w:t>
      </w:r>
    </w:p>
    <w:p w:rsidR="0036460A" w:rsidRPr="00D84329" w:rsidRDefault="0036460A" w:rsidP="0036460A">
      <w:pPr>
        <w:pStyle w:val="Ttulo2"/>
        <w:jc w:val="both"/>
        <w:rPr>
          <w:sz w:val="24"/>
          <w:szCs w:val="24"/>
          <w:lang w:val="es-EC"/>
        </w:rPr>
      </w:pPr>
      <w:r w:rsidRPr="00D84329">
        <w:rPr>
          <w:sz w:val="24"/>
          <w:szCs w:val="24"/>
          <w:lang w:val="es-EC"/>
        </w:rPr>
        <w:t>Dentro de las preocupaciones medioambientales del nuevo siglo, la contaminación del aire se encuentra en el quinto lugar con un 20%, después del cambio climático (53%), cantidad y calidad del agua (29 y 28%), deforestación (28%) y pérdida de la biodiversidad (23%) (Guadarrama, 2015). Los principales impactos de salud pública de la contaminación del aire incluyen tasas en aumento de mortandad, incremento de costos de cuidado de la salud, disminución de la productividad y reducción de la calidad de vida. Muchas enfermedades están asociadas con la contaminación del aire tales como: irritación, daño a las células, incremento en la incidencia de asma, alergias, severidad en el deterioro de la función pulmonar, fibrosis, oncogénesis. (</w:t>
      </w:r>
      <w:proofErr w:type="spellStart"/>
      <w:r w:rsidRPr="00D84329">
        <w:rPr>
          <w:sz w:val="24"/>
          <w:szCs w:val="24"/>
          <w:lang w:val="es-EC"/>
        </w:rPr>
        <w:t>Mihelcic</w:t>
      </w:r>
      <w:proofErr w:type="spellEnd"/>
      <w:r w:rsidRPr="00D84329">
        <w:rPr>
          <w:sz w:val="24"/>
          <w:szCs w:val="24"/>
          <w:lang w:val="es-EC"/>
        </w:rPr>
        <w:t xml:space="preserve"> y </w:t>
      </w:r>
      <w:proofErr w:type="spellStart"/>
      <w:r w:rsidRPr="00D84329">
        <w:rPr>
          <w:sz w:val="24"/>
          <w:szCs w:val="24"/>
          <w:lang w:val="es-EC"/>
        </w:rPr>
        <w:t>Zimmerman</w:t>
      </w:r>
      <w:proofErr w:type="spellEnd"/>
      <w:r w:rsidRPr="00D84329">
        <w:rPr>
          <w:sz w:val="24"/>
          <w:szCs w:val="24"/>
          <w:lang w:val="es-EC"/>
        </w:rPr>
        <w:t>, 2011; Romero, Diego y Álvarez, 2006).</w:t>
      </w:r>
    </w:p>
    <w:p w:rsidR="0036460A" w:rsidRPr="00D84329" w:rsidRDefault="0036460A" w:rsidP="0036460A">
      <w:pPr>
        <w:rPr>
          <w:sz w:val="24"/>
          <w:szCs w:val="24"/>
        </w:rPr>
      </w:pPr>
      <w:r w:rsidRPr="00D84329">
        <w:rPr>
          <w:sz w:val="24"/>
          <w:szCs w:val="24"/>
        </w:rPr>
        <w:t>Los estudios relacionados con la contaminación atmosférica presentan tres niveles atendiendo a su escala espacial y temporal. El nivel global que responde a la escala planetaria con efectos temporales de prolongada</w:t>
      </w:r>
      <w:r w:rsidRPr="00D84329">
        <w:rPr>
          <w:sz w:val="24"/>
          <w:szCs w:val="24"/>
          <w:lang w:val="es-419"/>
        </w:rPr>
        <w:t xml:space="preserve"> </w:t>
      </w:r>
      <w:r w:rsidRPr="00D84329">
        <w:rPr>
          <w:sz w:val="24"/>
          <w:szCs w:val="24"/>
        </w:rPr>
        <w:t>manifestación como las emisiones de gases de efecto invernadero y el recalentamiento global. El nivel regional que responde a las características continentales o de grandes zonas rurales y marinas con manifestaciones de efectos temporales de semanas y meses como son los procesos de acidificación de la atmósfera. Y por último el local relacionado con asentamientos urbanos o industriales con efectos inmediatos de la contaminación</w:t>
      </w:r>
      <w:r w:rsidRPr="00D84329">
        <w:rPr>
          <w:sz w:val="24"/>
          <w:szCs w:val="24"/>
          <w:lang w:val="es-419"/>
        </w:rPr>
        <w:t xml:space="preserve"> </w:t>
      </w:r>
      <w:r w:rsidRPr="00D84329">
        <w:rPr>
          <w:sz w:val="24"/>
          <w:szCs w:val="24"/>
        </w:rPr>
        <w:t>atmosférica sobre la salud humana o los ecosistemas</w:t>
      </w:r>
      <w:r w:rsidRPr="00D84329">
        <w:rPr>
          <w:sz w:val="24"/>
          <w:szCs w:val="24"/>
          <w:lang w:val="es-419"/>
        </w:rPr>
        <w:t xml:space="preserve"> (</w:t>
      </w:r>
      <w:proofErr w:type="spellStart"/>
      <w:r w:rsidRPr="00D84329">
        <w:rPr>
          <w:sz w:val="24"/>
          <w:szCs w:val="24"/>
        </w:rPr>
        <w:t>Mihelcic</w:t>
      </w:r>
      <w:proofErr w:type="spellEnd"/>
      <w:r w:rsidRPr="00D84329">
        <w:rPr>
          <w:sz w:val="24"/>
          <w:szCs w:val="24"/>
        </w:rPr>
        <w:t xml:space="preserve"> y </w:t>
      </w:r>
      <w:proofErr w:type="spellStart"/>
      <w:r w:rsidRPr="00D84329">
        <w:rPr>
          <w:sz w:val="24"/>
          <w:szCs w:val="24"/>
        </w:rPr>
        <w:t>Zimmerman</w:t>
      </w:r>
      <w:proofErr w:type="spellEnd"/>
      <w:r w:rsidRPr="00D84329">
        <w:rPr>
          <w:sz w:val="24"/>
          <w:szCs w:val="24"/>
        </w:rPr>
        <w:t>, 2011).</w:t>
      </w:r>
    </w:p>
    <w:p w:rsidR="0036460A" w:rsidRPr="00D84329" w:rsidRDefault="0036460A" w:rsidP="0036460A">
      <w:pPr>
        <w:rPr>
          <w:sz w:val="24"/>
          <w:szCs w:val="24"/>
          <w:lang w:val="es-419"/>
        </w:rPr>
      </w:pPr>
      <w:r w:rsidRPr="00D84329">
        <w:rPr>
          <w:sz w:val="24"/>
          <w:szCs w:val="24"/>
          <w:lang w:val="es-419"/>
        </w:rPr>
        <w:t xml:space="preserve">Según Cuesta et al., (2019) entre las causas fundamentales que generan los problemas de contaminación atmosférica en Cuba tenemos: errores de planificación territorial; uso de tecnologías obsoletas en industrias y el transporte; no existencia de tratamientos en las emisiones a la atmósfera y la deficiente educación ambiental e información a la comunidad. </w:t>
      </w:r>
    </w:p>
    <w:p w:rsidR="0036460A" w:rsidRPr="00D84329" w:rsidRDefault="0036460A" w:rsidP="0036460A">
      <w:pPr>
        <w:rPr>
          <w:sz w:val="24"/>
          <w:szCs w:val="24"/>
          <w:lang w:val="es-419"/>
        </w:rPr>
      </w:pPr>
      <w:r w:rsidRPr="00D84329">
        <w:rPr>
          <w:sz w:val="24"/>
          <w:szCs w:val="24"/>
          <w:lang w:val="es-419"/>
        </w:rPr>
        <w:t>En Cuba en el estudio de Cuesta et al. (2010) se realizó una evaluación cualitativa de la calidad del aire de las principales ciudades del país. En este estudio la ciudad de Santa Clara resultó con categoría de deficiente entre otras 11 ciudades, así como con categoría de mala otras 5 y pésima se encuentran Mariel, Nuevitas, Moa, La Habana, Santiago de Cuba, Cienfuegos y Matanzas.</w:t>
      </w:r>
    </w:p>
    <w:p w:rsidR="0036460A" w:rsidRPr="00D84329" w:rsidRDefault="0036460A" w:rsidP="0036460A">
      <w:pPr>
        <w:rPr>
          <w:color w:val="000000"/>
          <w:sz w:val="24"/>
          <w:szCs w:val="24"/>
        </w:rPr>
      </w:pPr>
      <w:r w:rsidRPr="00D84329">
        <w:rPr>
          <w:sz w:val="24"/>
          <w:szCs w:val="24"/>
          <w:lang w:val="es-419"/>
        </w:rPr>
        <w:t xml:space="preserve">En la zona de estudio los principales contaminantes emitidos a la atmósfera son producto de las actividades generadoras de la energía, los procesos industriales y otras actividades económicas del territorio. </w:t>
      </w:r>
      <w:r w:rsidRPr="00D84329">
        <w:rPr>
          <w:color w:val="000000"/>
          <w:sz w:val="24"/>
          <w:szCs w:val="24"/>
        </w:rPr>
        <w:t>Esos son Dióxido de</w:t>
      </w:r>
      <w:r w:rsidRPr="00D84329">
        <w:rPr>
          <w:b/>
          <w:bCs/>
          <w:color w:val="FFFFFF"/>
          <w:sz w:val="24"/>
          <w:szCs w:val="24"/>
        </w:rPr>
        <w:t>8</w:t>
      </w:r>
      <w:r w:rsidRPr="00D84329">
        <w:rPr>
          <w:color w:val="000000"/>
          <w:sz w:val="24"/>
          <w:szCs w:val="24"/>
        </w:rPr>
        <w:t>Azufre (SO</w:t>
      </w:r>
      <w:r w:rsidRPr="00D84329">
        <w:rPr>
          <w:color w:val="000000"/>
          <w:sz w:val="24"/>
          <w:szCs w:val="24"/>
          <w:vertAlign w:val="subscript"/>
        </w:rPr>
        <w:t>2</w:t>
      </w:r>
      <w:r w:rsidRPr="00D84329">
        <w:rPr>
          <w:color w:val="000000"/>
          <w:sz w:val="24"/>
          <w:szCs w:val="24"/>
        </w:rPr>
        <w:t>), Óxidos de Nitrógeno (NO</w:t>
      </w:r>
      <w:r w:rsidRPr="00D84329">
        <w:rPr>
          <w:color w:val="000000"/>
          <w:sz w:val="24"/>
          <w:szCs w:val="24"/>
          <w:vertAlign w:val="subscript"/>
        </w:rPr>
        <w:t>2</w:t>
      </w:r>
      <w:r w:rsidRPr="00D84329">
        <w:rPr>
          <w:color w:val="000000"/>
          <w:sz w:val="24"/>
          <w:szCs w:val="24"/>
        </w:rPr>
        <w:t xml:space="preserve"> y NO), Monóxido de Carbono (CO), el Material </w:t>
      </w:r>
      <w:proofErr w:type="spellStart"/>
      <w:r w:rsidRPr="00D84329">
        <w:rPr>
          <w:color w:val="000000"/>
          <w:sz w:val="24"/>
          <w:szCs w:val="24"/>
        </w:rPr>
        <w:t>Particulado</w:t>
      </w:r>
      <w:proofErr w:type="spellEnd"/>
      <w:r w:rsidRPr="00D84329">
        <w:rPr>
          <w:color w:val="000000"/>
          <w:sz w:val="24"/>
          <w:szCs w:val="24"/>
        </w:rPr>
        <w:t xml:space="preserve"> menor o igual de 10 y 2,5 micrómetros (PM10 y PM2,5) y los Compuestos Orgánicos Volátiles diferentes del Metano (COVDM) (Cuesta et al., 2019). </w:t>
      </w:r>
    </w:p>
    <w:p w:rsidR="0036460A" w:rsidRPr="00D84329" w:rsidRDefault="0036460A" w:rsidP="0036460A">
      <w:pPr>
        <w:rPr>
          <w:sz w:val="24"/>
          <w:szCs w:val="24"/>
        </w:rPr>
      </w:pPr>
      <w:r w:rsidRPr="00D84329">
        <w:rPr>
          <w:sz w:val="24"/>
          <w:szCs w:val="24"/>
        </w:rPr>
        <w:t>Algunas consecuencias de la emisión de esos gases son: producción de lluvia acida, destrucción de la capa de ozono, y un incremento del ozono troposférico. (Alfaro et al., 2021).</w:t>
      </w:r>
    </w:p>
    <w:p w:rsidR="0036460A" w:rsidRPr="00D84329" w:rsidRDefault="0036460A" w:rsidP="0036460A">
      <w:pPr>
        <w:rPr>
          <w:sz w:val="24"/>
          <w:szCs w:val="24"/>
        </w:rPr>
      </w:pPr>
      <w:r w:rsidRPr="00D84329">
        <w:rPr>
          <w:sz w:val="24"/>
          <w:szCs w:val="24"/>
          <w:lang w:val="es-419"/>
        </w:rPr>
        <w:t xml:space="preserve">En los procesos industriales no debe restar importancia el sector de elaboración de productos alimenticios debido que en algunos países reportó las mayores concentraciones de los contaminantes. Por ejemplo en Costa Rica, un estudio de </w:t>
      </w:r>
      <w:r w:rsidRPr="00D84329">
        <w:rPr>
          <w:sz w:val="24"/>
          <w:szCs w:val="24"/>
        </w:rPr>
        <w:t xml:space="preserve">Alfaro et al., (2021) del inventario preliminar de emisiones atmosférica reporto valores de 2622,14 </w:t>
      </w:r>
      <w:proofErr w:type="spellStart"/>
      <w:r w:rsidRPr="00D84329">
        <w:rPr>
          <w:sz w:val="24"/>
          <w:szCs w:val="24"/>
        </w:rPr>
        <w:t>tn</w:t>
      </w:r>
      <w:proofErr w:type="spellEnd"/>
      <w:r w:rsidRPr="00D84329">
        <w:rPr>
          <w:sz w:val="24"/>
          <w:szCs w:val="24"/>
        </w:rPr>
        <w:t xml:space="preserve">/año, 3257,54 </w:t>
      </w:r>
      <w:proofErr w:type="spellStart"/>
      <w:r w:rsidRPr="00D84329">
        <w:rPr>
          <w:sz w:val="24"/>
          <w:szCs w:val="24"/>
        </w:rPr>
        <w:t>tn</w:t>
      </w:r>
      <w:proofErr w:type="spellEnd"/>
      <w:r w:rsidRPr="00D84329">
        <w:rPr>
          <w:sz w:val="24"/>
          <w:szCs w:val="24"/>
        </w:rPr>
        <w:t xml:space="preserve">/año y 346,40 </w:t>
      </w:r>
      <w:proofErr w:type="spellStart"/>
      <w:r w:rsidRPr="00D84329">
        <w:rPr>
          <w:sz w:val="24"/>
          <w:szCs w:val="24"/>
        </w:rPr>
        <w:t>tn</w:t>
      </w:r>
      <w:proofErr w:type="spellEnd"/>
      <w:r w:rsidRPr="00D84329">
        <w:rPr>
          <w:sz w:val="24"/>
          <w:szCs w:val="24"/>
        </w:rPr>
        <w:t xml:space="preserve">/año de </w:t>
      </w:r>
      <w:proofErr w:type="spellStart"/>
      <w:r w:rsidRPr="00D84329">
        <w:rPr>
          <w:sz w:val="24"/>
          <w:szCs w:val="24"/>
        </w:rPr>
        <w:t>NOx</w:t>
      </w:r>
      <w:proofErr w:type="spellEnd"/>
      <w:r w:rsidRPr="00D84329">
        <w:rPr>
          <w:sz w:val="24"/>
          <w:szCs w:val="24"/>
        </w:rPr>
        <w:t>, SO</w:t>
      </w:r>
      <w:r w:rsidRPr="00D84329">
        <w:rPr>
          <w:sz w:val="24"/>
          <w:szCs w:val="24"/>
          <w:vertAlign w:val="subscript"/>
        </w:rPr>
        <w:t>2</w:t>
      </w:r>
      <w:r w:rsidRPr="00D84329">
        <w:rPr>
          <w:sz w:val="24"/>
          <w:szCs w:val="24"/>
        </w:rPr>
        <w:t>, y partículas totales en suspensión (PTS) en el 2015</w:t>
      </w:r>
      <w:r w:rsidRPr="00D84329">
        <w:rPr>
          <w:sz w:val="24"/>
          <w:szCs w:val="24"/>
          <w:lang w:val="es-419"/>
        </w:rPr>
        <w:t xml:space="preserve"> en este sector</w:t>
      </w:r>
      <w:r w:rsidRPr="00D84329">
        <w:rPr>
          <w:sz w:val="24"/>
          <w:szCs w:val="24"/>
        </w:rPr>
        <w:t>.</w:t>
      </w:r>
    </w:p>
    <w:p w:rsidR="0036460A" w:rsidRPr="00D84329" w:rsidRDefault="0036460A" w:rsidP="0036460A">
      <w:pPr>
        <w:rPr>
          <w:sz w:val="24"/>
          <w:szCs w:val="24"/>
        </w:rPr>
      </w:pPr>
      <w:r w:rsidRPr="00D84329">
        <w:rPr>
          <w:sz w:val="24"/>
          <w:szCs w:val="24"/>
        </w:rPr>
        <w:t>Cuesta et al., (2019) plantea que las ciudades con los niveles de calidad del aire catalogadas de mala y pésima requieren de estudios integrales de calidad del aire. Estos estudios los realiza el ministerio de Ciencia, Tecnología y Medio Ambiente que opera una red de vigilancia local y regional muy deprimida.</w:t>
      </w:r>
    </w:p>
    <w:p w:rsidR="0036460A" w:rsidRPr="00D84329" w:rsidRDefault="0036460A" w:rsidP="0036460A">
      <w:pPr>
        <w:rPr>
          <w:sz w:val="24"/>
          <w:szCs w:val="24"/>
        </w:rPr>
      </w:pPr>
      <w:r w:rsidRPr="00D84329">
        <w:rPr>
          <w:sz w:val="24"/>
          <w:szCs w:val="24"/>
          <w:lang w:val="es-419"/>
        </w:rPr>
        <w:lastRenderedPageBreak/>
        <w:t xml:space="preserve">El uso de las tecnologías de punta como los satélites en los estudios medioambientales se ha incrementado al nivel mundial. Como es el caso </w:t>
      </w:r>
      <w:r w:rsidRPr="00D84329">
        <w:rPr>
          <w:sz w:val="24"/>
          <w:szCs w:val="24"/>
        </w:rPr>
        <w:t xml:space="preserve">del Instrumento de Monitoreo </w:t>
      </w:r>
      <w:proofErr w:type="spellStart"/>
      <w:r w:rsidRPr="00D84329">
        <w:rPr>
          <w:sz w:val="24"/>
          <w:szCs w:val="24"/>
        </w:rPr>
        <w:t>TROPOsférico</w:t>
      </w:r>
      <w:proofErr w:type="spellEnd"/>
      <w:r w:rsidRPr="00D84329">
        <w:rPr>
          <w:sz w:val="24"/>
          <w:szCs w:val="24"/>
        </w:rPr>
        <w:t xml:space="preserve"> (TROPOMI) a bordo del Precursor Sentinel-5 para el monitoreo de la </w:t>
      </w:r>
      <w:proofErr w:type="spellStart"/>
      <w:r w:rsidRPr="00D84329">
        <w:rPr>
          <w:sz w:val="24"/>
          <w:szCs w:val="24"/>
        </w:rPr>
        <w:t>ﬂuorescencia</w:t>
      </w:r>
      <w:proofErr w:type="spellEnd"/>
      <w:r w:rsidRPr="00D84329">
        <w:rPr>
          <w:sz w:val="24"/>
          <w:szCs w:val="24"/>
        </w:rPr>
        <w:t xml:space="preserve"> de la clorofila terrestre </w:t>
      </w:r>
      <w:r w:rsidRPr="00D84329">
        <w:rPr>
          <w:sz w:val="24"/>
          <w:szCs w:val="24"/>
          <w:lang w:val="es-419"/>
        </w:rPr>
        <w:t>(</w:t>
      </w:r>
      <w:proofErr w:type="spellStart"/>
      <w:r w:rsidRPr="00D84329">
        <w:rPr>
          <w:sz w:val="24"/>
          <w:szCs w:val="24"/>
        </w:rPr>
        <w:t>Guanter</w:t>
      </w:r>
      <w:proofErr w:type="spellEnd"/>
      <w:r w:rsidRPr="00D84329">
        <w:rPr>
          <w:sz w:val="24"/>
          <w:szCs w:val="24"/>
          <w:lang w:val="es-419"/>
        </w:rPr>
        <w:t xml:space="preserve"> et al., 2015)</w:t>
      </w:r>
      <w:r w:rsidRPr="00D84329">
        <w:rPr>
          <w:sz w:val="24"/>
          <w:szCs w:val="24"/>
        </w:rPr>
        <w:t>. Además se realizó una validación del instrumento TROPOMI para la radiación ultravioleta por más de 12 países en los que se encuentran Finlandia, Francia, Italia, Grecia, Estonia, Estados unidos, Bélgica, Holanda, España, Australia, Noruega, Israel y Argentina. (</w:t>
      </w:r>
      <w:proofErr w:type="spellStart"/>
      <w:r w:rsidRPr="00D84329">
        <w:rPr>
          <w:sz w:val="24"/>
          <w:szCs w:val="24"/>
        </w:rPr>
        <w:t>Lakkala</w:t>
      </w:r>
      <w:proofErr w:type="spellEnd"/>
      <w:r w:rsidRPr="00D84329">
        <w:rPr>
          <w:sz w:val="24"/>
          <w:szCs w:val="24"/>
        </w:rPr>
        <w:t xml:space="preserve"> et al., 2020). </w:t>
      </w:r>
    </w:p>
    <w:p w:rsidR="0036460A" w:rsidRPr="00D84329" w:rsidRDefault="0036460A" w:rsidP="0036460A">
      <w:pPr>
        <w:rPr>
          <w:sz w:val="24"/>
          <w:szCs w:val="24"/>
        </w:rPr>
      </w:pPr>
      <w:r w:rsidRPr="00D84329">
        <w:rPr>
          <w:sz w:val="24"/>
          <w:szCs w:val="24"/>
        </w:rPr>
        <w:t>Específicamente para los contaminantes atmosféricos, en el estudio de Forero (2019) obtuvo que los datos tomados por TROPOMI muestran que las dinámicas de las concentraciones de CO y NO</w:t>
      </w:r>
      <w:r w:rsidRPr="00D84329">
        <w:rPr>
          <w:sz w:val="24"/>
          <w:szCs w:val="24"/>
          <w:vertAlign w:val="subscript"/>
        </w:rPr>
        <w:t>2</w:t>
      </w:r>
      <w:r w:rsidRPr="00D84329">
        <w:rPr>
          <w:sz w:val="24"/>
          <w:szCs w:val="24"/>
        </w:rPr>
        <w:t xml:space="preserve"> troposférico siguen las mismas tendencias que las concentraciones medidas sobre la superficie evidenciando las mismas variaciones temporales, y los coeficientes de correlación calculados para CO 0.55 y para el NO</w:t>
      </w:r>
      <w:r w:rsidRPr="00D84329">
        <w:rPr>
          <w:sz w:val="24"/>
          <w:szCs w:val="24"/>
          <w:vertAlign w:val="subscript"/>
        </w:rPr>
        <w:t>2</w:t>
      </w:r>
      <w:r w:rsidRPr="00D84329">
        <w:rPr>
          <w:sz w:val="24"/>
          <w:szCs w:val="24"/>
        </w:rPr>
        <w:t xml:space="preserve"> 0.44, caso distinto se obtuvo para el ozono de 0.05 y para el SO</w:t>
      </w:r>
      <w:r w:rsidRPr="00D84329">
        <w:rPr>
          <w:sz w:val="24"/>
          <w:szCs w:val="24"/>
          <w:vertAlign w:val="subscript"/>
        </w:rPr>
        <w:t>2</w:t>
      </w:r>
      <w:r w:rsidRPr="00D84329">
        <w:rPr>
          <w:sz w:val="24"/>
          <w:szCs w:val="24"/>
        </w:rPr>
        <w:t xml:space="preserve"> de 0.25. Sin embargo, en el estudio de Arboleda &amp; Vásquez (2021) se correlacionó las variables CO, NO</w:t>
      </w:r>
      <w:r w:rsidRPr="00D84329">
        <w:rPr>
          <w:sz w:val="24"/>
          <w:szCs w:val="24"/>
          <w:vertAlign w:val="subscript"/>
        </w:rPr>
        <w:t>2</w:t>
      </w:r>
      <w:r w:rsidRPr="00D84329">
        <w:rPr>
          <w:sz w:val="24"/>
          <w:szCs w:val="24"/>
        </w:rPr>
        <w:t xml:space="preserve"> y O</w:t>
      </w:r>
      <w:r w:rsidRPr="00D84329">
        <w:rPr>
          <w:sz w:val="24"/>
          <w:szCs w:val="24"/>
          <w:vertAlign w:val="subscript"/>
        </w:rPr>
        <w:t>3</w:t>
      </w:r>
      <w:r w:rsidRPr="00D84329">
        <w:rPr>
          <w:sz w:val="24"/>
          <w:szCs w:val="24"/>
        </w:rPr>
        <w:t xml:space="preserve"> entre los datos de tierra y los del TROPOMI evidenciándose que fueron estadísticamente significativas.</w:t>
      </w:r>
    </w:p>
    <w:p w:rsidR="0036460A" w:rsidRPr="00D84329" w:rsidRDefault="0036460A" w:rsidP="0036460A">
      <w:pPr>
        <w:rPr>
          <w:sz w:val="24"/>
          <w:szCs w:val="24"/>
        </w:rPr>
      </w:pPr>
      <w:r w:rsidRPr="00D84329">
        <w:rPr>
          <w:sz w:val="24"/>
          <w:szCs w:val="24"/>
        </w:rPr>
        <w:t xml:space="preserve">En Cuba como en la mayoría de los países latinoamericanos se dificulta el monitoreo y evaluación de la calidad del aire en todas las ciudades del país debido a la falta de instrumentos con los estándares requeridos para dicha evaluación. La posibilidad del uso del Instrumento de Monitoreo </w:t>
      </w:r>
      <w:proofErr w:type="spellStart"/>
      <w:r w:rsidRPr="00D84329">
        <w:rPr>
          <w:sz w:val="24"/>
          <w:szCs w:val="24"/>
        </w:rPr>
        <w:t>TROPOsférico</w:t>
      </w:r>
      <w:proofErr w:type="spellEnd"/>
      <w:r w:rsidRPr="00D84329">
        <w:rPr>
          <w:sz w:val="24"/>
          <w:szCs w:val="24"/>
        </w:rPr>
        <w:t xml:space="preserve"> (TROPOMI) a bordo del Precursor Sentinel-5 para la evaluación de la calidad del aire nos ofrece los datos necesarios para lograr la gestión de la calidad del aire en la región. </w:t>
      </w:r>
    </w:p>
    <w:p w:rsidR="0036460A" w:rsidRPr="00D84329" w:rsidRDefault="0036460A" w:rsidP="0036460A">
      <w:pPr>
        <w:pStyle w:val="Ttulo2"/>
        <w:jc w:val="both"/>
        <w:rPr>
          <w:sz w:val="24"/>
          <w:szCs w:val="24"/>
          <w:lang w:val="es-EC"/>
        </w:rPr>
      </w:pPr>
      <w:r w:rsidRPr="00D84329">
        <w:rPr>
          <w:sz w:val="24"/>
          <w:szCs w:val="24"/>
          <w:lang w:val="es-419"/>
        </w:rPr>
        <w:t xml:space="preserve">En este trabajo se propone el uso de las potencialidades que ofrece el </w:t>
      </w:r>
      <w:proofErr w:type="spellStart"/>
      <w:r w:rsidRPr="00D84329">
        <w:rPr>
          <w:sz w:val="24"/>
          <w:szCs w:val="24"/>
          <w:lang w:val="es-ES"/>
        </w:rPr>
        <w:t>Troposferic</w:t>
      </w:r>
      <w:proofErr w:type="spellEnd"/>
      <w:r w:rsidRPr="00D84329">
        <w:rPr>
          <w:sz w:val="24"/>
          <w:szCs w:val="24"/>
          <w:lang w:val="es-ES"/>
        </w:rPr>
        <w:t xml:space="preserve"> </w:t>
      </w:r>
      <w:proofErr w:type="spellStart"/>
      <w:r w:rsidRPr="00D84329">
        <w:rPr>
          <w:sz w:val="24"/>
          <w:szCs w:val="24"/>
          <w:lang w:val="es-ES"/>
        </w:rPr>
        <w:t>Monitoring</w:t>
      </w:r>
      <w:proofErr w:type="spellEnd"/>
      <w:r w:rsidRPr="00D84329">
        <w:rPr>
          <w:sz w:val="24"/>
          <w:szCs w:val="24"/>
          <w:lang w:val="es-ES"/>
        </w:rPr>
        <w:t xml:space="preserve"> </w:t>
      </w:r>
      <w:proofErr w:type="spellStart"/>
      <w:r w:rsidRPr="00D84329">
        <w:rPr>
          <w:sz w:val="24"/>
          <w:szCs w:val="24"/>
          <w:lang w:val="es-ES"/>
        </w:rPr>
        <w:t>Instrument</w:t>
      </w:r>
      <w:proofErr w:type="spellEnd"/>
      <w:r w:rsidRPr="00D84329">
        <w:rPr>
          <w:sz w:val="24"/>
          <w:szCs w:val="24"/>
          <w:lang w:val="es-419"/>
        </w:rPr>
        <w:t xml:space="preserve"> </w:t>
      </w:r>
      <w:r w:rsidRPr="00D84329">
        <w:rPr>
          <w:sz w:val="24"/>
          <w:szCs w:val="24"/>
          <w:lang w:val="es-ES"/>
        </w:rPr>
        <w:t xml:space="preserve">(TROPOMI) </w:t>
      </w:r>
      <w:r w:rsidRPr="00D84329">
        <w:rPr>
          <w:sz w:val="24"/>
          <w:szCs w:val="24"/>
          <w:lang w:val="es-419"/>
        </w:rPr>
        <w:t>a bordo del satélite Sentinel 5P de la serie Copernicus de la Agencia Espacial Europea para evaluar la calidad del aire de la ciudad de Santa Clara identificando varios elementos de la composición de la atmósfera desde el espacio como son: CO, ozono, SO</w:t>
      </w:r>
      <w:r w:rsidRPr="00D84329">
        <w:rPr>
          <w:sz w:val="24"/>
          <w:szCs w:val="24"/>
          <w:vertAlign w:val="subscript"/>
          <w:lang w:val="es-419"/>
        </w:rPr>
        <w:t>2</w:t>
      </w:r>
      <w:r w:rsidRPr="00D84329">
        <w:rPr>
          <w:sz w:val="24"/>
          <w:szCs w:val="24"/>
          <w:lang w:val="es-419"/>
        </w:rPr>
        <w:t>.</w:t>
      </w:r>
    </w:p>
    <w:p w:rsidR="0036460A" w:rsidRPr="00D84329" w:rsidRDefault="0036460A" w:rsidP="0036460A">
      <w:pPr>
        <w:pStyle w:val="Ttulo2"/>
        <w:jc w:val="both"/>
        <w:rPr>
          <w:sz w:val="24"/>
          <w:szCs w:val="24"/>
          <w:lang w:val="es-EC"/>
        </w:rPr>
      </w:pPr>
      <w:r w:rsidRPr="00D84329">
        <w:rPr>
          <w:sz w:val="24"/>
          <w:szCs w:val="24"/>
          <w:lang w:val="es-EC"/>
        </w:rPr>
        <w:t xml:space="preserve"> </w:t>
      </w:r>
    </w:p>
    <w:p w:rsidR="0036460A" w:rsidRPr="00D84329" w:rsidRDefault="0036460A" w:rsidP="0036460A">
      <w:pPr>
        <w:pStyle w:val="Ttulo2"/>
        <w:ind w:firstLine="0"/>
        <w:jc w:val="left"/>
        <w:rPr>
          <w:b/>
          <w:sz w:val="24"/>
          <w:szCs w:val="24"/>
          <w:lang w:val="es-ES"/>
        </w:rPr>
      </w:pPr>
      <w:r w:rsidRPr="00D84329">
        <w:rPr>
          <w:b/>
          <w:sz w:val="24"/>
          <w:szCs w:val="24"/>
          <w:lang w:val="es-ES"/>
        </w:rPr>
        <w:t>2. Metodología</w:t>
      </w:r>
    </w:p>
    <w:p w:rsidR="0036460A" w:rsidRPr="00D84329" w:rsidRDefault="0036460A" w:rsidP="0036460A">
      <w:pPr>
        <w:rPr>
          <w:sz w:val="24"/>
          <w:szCs w:val="24"/>
        </w:rPr>
      </w:pPr>
    </w:p>
    <w:p w:rsidR="0036460A" w:rsidRPr="00D84329" w:rsidRDefault="0036460A" w:rsidP="0036460A">
      <w:pPr>
        <w:rPr>
          <w:sz w:val="24"/>
          <w:szCs w:val="24"/>
        </w:rPr>
      </w:pPr>
      <w:r w:rsidRPr="00D84329">
        <w:rPr>
          <w:sz w:val="24"/>
          <w:szCs w:val="24"/>
        </w:rPr>
        <w:t xml:space="preserve">El TROPOMI es un instrumento óptico para identificar varios elementos de la composición de la atmósfera desde el espacio. Se encuentra a bordo del satélite </w:t>
      </w:r>
      <w:proofErr w:type="spellStart"/>
      <w:r w:rsidRPr="00D84329">
        <w:rPr>
          <w:sz w:val="24"/>
          <w:szCs w:val="24"/>
        </w:rPr>
        <w:t>Sentinel</w:t>
      </w:r>
      <w:proofErr w:type="spellEnd"/>
      <w:r w:rsidRPr="00D84329">
        <w:rPr>
          <w:sz w:val="24"/>
          <w:szCs w:val="24"/>
        </w:rPr>
        <w:t xml:space="preserve"> 5P de la serie </w:t>
      </w:r>
      <w:proofErr w:type="spellStart"/>
      <w:r w:rsidRPr="00D84329">
        <w:rPr>
          <w:sz w:val="24"/>
          <w:szCs w:val="24"/>
        </w:rPr>
        <w:t>Copernicus</w:t>
      </w:r>
      <w:proofErr w:type="spellEnd"/>
      <w:r w:rsidRPr="00D84329">
        <w:rPr>
          <w:sz w:val="24"/>
          <w:szCs w:val="24"/>
        </w:rPr>
        <w:t xml:space="preserve"> de la Agencia Espacial Europea. El instrumento opera en una configuración de barrido (sin escaneo), con un ancho de franja de ~ 2600 km en la superficie de la Tierra cada 24 horas. La presentación de los resultados lo realiza mediante mapas y datos de concentración puntuales, </w:t>
      </w:r>
      <w:proofErr w:type="spellStart"/>
      <w:r w:rsidRPr="00D84329">
        <w:rPr>
          <w:sz w:val="24"/>
          <w:szCs w:val="24"/>
        </w:rPr>
        <w:t>areales</w:t>
      </w:r>
      <w:proofErr w:type="spellEnd"/>
      <w:r w:rsidRPr="00D84329">
        <w:rPr>
          <w:sz w:val="24"/>
          <w:szCs w:val="24"/>
        </w:rPr>
        <w:t xml:space="preserve"> y territoriales lo que permite identificar la dinámica y distribución geográfica de la contaminación.</w:t>
      </w:r>
    </w:p>
    <w:p w:rsidR="0036460A" w:rsidRPr="00D84329" w:rsidRDefault="0036460A" w:rsidP="0036460A">
      <w:pPr>
        <w:rPr>
          <w:sz w:val="24"/>
          <w:szCs w:val="24"/>
        </w:rPr>
      </w:pPr>
      <w:r w:rsidRPr="00D84329">
        <w:rPr>
          <w:sz w:val="24"/>
          <w:szCs w:val="24"/>
        </w:rPr>
        <w:t>Los datos se proporcionan en internet mediante la página es el https://apps.sentinel-hub.com/ a los cuales hay que introducirle el contaminante que se desea determinar y la región a la cual se desean obtener los datos e imágenes, se selecciona la imagen de barrido de esa región que mejor se ajusta. Posteriormente para los datos puntuales se selecciona un punto de la región en que se desean los datos numéricos y las gráficas. Los datos numéricos se pueden gravar en un fichero *.</w:t>
      </w:r>
      <w:proofErr w:type="spellStart"/>
      <w:r w:rsidRPr="00D84329">
        <w:rPr>
          <w:sz w:val="24"/>
          <w:szCs w:val="24"/>
        </w:rPr>
        <w:t>cvs</w:t>
      </w:r>
      <w:proofErr w:type="spellEnd"/>
      <w:r w:rsidRPr="00D84329">
        <w:rPr>
          <w:sz w:val="24"/>
          <w:szCs w:val="24"/>
        </w:rPr>
        <w:t xml:space="preserve"> que se pueden exportar al Excel. Para los datos regionales se debe introducir el área que se desean tanto los datos numéricos, gráficas y mapas de distribución de la concentración.</w:t>
      </w:r>
    </w:p>
    <w:p w:rsidR="0036460A" w:rsidRPr="00D84329" w:rsidRDefault="0036460A" w:rsidP="0036460A">
      <w:pPr>
        <w:rPr>
          <w:sz w:val="24"/>
          <w:szCs w:val="24"/>
        </w:rPr>
      </w:pPr>
    </w:p>
    <w:p w:rsidR="00F30DFC" w:rsidRDefault="00F30DFC" w:rsidP="0036460A">
      <w:pPr>
        <w:pStyle w:val="Ttulo2"/>
        <w:ind w:firstLine="0"/>
        <w:jc w:val="left"/>
        <w:rPr>
          <w:b/>
          <w:sz w:val="24"/>
          <w:szCs w:val="24"/>
          <w:lang w:val="es-ES"/>
        </w:rPr>
      </w:pPr>
    </w:p>
    <w:p w:rsidR="00F30DFC" w:rsidRDefault="00F30DFC" w:rsidP="0036460A">
      <w:pPr>
        <w:pStyle w:val="Ttulo2"/>
        <w:ind w:firstLine="0"/>
        <w:jc w:val="left"/>
        <w:rPr>
          <w:b/>
          <w:sz w:val="24"/>
          <w:szCs w:val="24"/>
          <w:lang w:val="es-ES"/>
        </w:rPr>
      </w:pPr>
    </w:p>
    <w:p w:rsidR="0036460A" w:rsidRPr="00D84329" w:rsidRDefault="0036460A" w:rsidP="0036460A">
      <w:pPr>
        <w:pStyle w:val="Ttulo2"/>
        <w:ind w:firstLine="0"/>
        <w:jc w:val="left"/>
        <w:rPr>
          <w:b/>
          <w:sz w:val="24"/>
          <w:szCs w:val="24"/>
          <w:lang w:val="es-ES"/>
        </w:rPr>
      </w:pPr>
      <w:r w:rsidRPr="00D84329">
        <w:rPr>
          <w:b/>
          <w:sz w:val="24"/>
          <w:szCs w:val="24"/>
          <w:lang w:val="es-ES"/>
        </w:rPr>
        <w:lastRenderedPageBreak/>
        <w:t>3. Resultados y Discusión</w:t>
      </w:r>
    </w:p>
    <w:p w:rsidR="0036460A" w:rsidRPr="00D84329" w:rsidRDefault="0036460A" w:rsidP="0036460A">
      <w:pPr>
        <w:rPr>
          <w:sz w:val="24"/>
          <w:szCs w:val="24"/>
        </w:rPr>
      </w:pPr>
    </w:p>
    <w:p w:rsidR="0036460A" w:rsidRPr="00D84329" w:rsidRDefault="0036460A" w:rsidP="0036460A">
      <w:pPr>
        <w:rPr>
          <w:sz w:val="24"/>
          <w:szCs w:val="24"/>
          <w:lang w:val="es-419"/>
        </w:rPr>
      </w:pPr>
      <w:r w:rsidRPr="00D84329">
        <w:rPr>
          <w:sz w:val="24"/>
          <w:szCs w:val="24"/>
          <w:lang w:val="es-419"/>
        </w:rPr>
        <w:t xml:space="preserve">En las </w:t>
      </w:r>
      <w:r w:rsidRPr="00D84329">
        <w:rPr>
          <w:i/>
          <w:sz w:val="24"/>
          <w:szCs w:val="24"/>
          <w:lang w:val="es-419"/>
        </w:rPr>
        <w:t>Figuras 1, 3 y 5</w:t>
      </w:r>
      <w:r w:rsidRPr="00D84329">
        <w:rPr>
          <w:sz w:val="24"/>
          <w:szCs w:val="24"/>
          <w:lang w:val="es-419"/>
        </w:rPr>
        <w:t xml:space="preserve"> se muestran los valores de concentración mensual y anual obtenidos de monóxido de carbono (CO), ozono (0</w:t>
      </w:r>
      <w:r w:rsidRPr="00D84329">
        <w:rPr>
          <w:sz w:val="24"/>
          <w:szCs w:val="24"/>
          <w:vertAlign w:val="subscript"/>
          <w:lang w:val="es-419"/>
        </w:rPr>
        <w:t>3</w:t>
      </w:r>
      <w:r w:rsidRPr="00D84329">
        <w:rPr>
          <w:sz w:val="24"/>
          <w:szCs w:val="24"/>
          <w:lang w:val="es-419"/>
        </w:rPr>
        <w:t>) y dióxido de azufre (SO</w:t>
      </w:r>
      <w:r w:rsidRPr="00D84329">
        <w:rPr>
          <w:sz w:val="24"/>
          <w:szCs w:val="24"/>
          <w:vertAlign w:val="subscript"/>
          <w:lang w:val="es-419"/>
        </w:rPr>
        <w:t>2</w:t>
      </w:r>
      <w:r w:rsidRPr="00D84329">
        <w:rPr>
          <w:sz w:val="24"/>
          <w:szCs w:val="24"/>
          <w:lang w:val="es-419"/>
        </w:rPr>
        <w:t xml:space="preserve">) para la ciudad de Santa Clara respectivamente. La concentración mensual se refiere desde el 24 de abril hasta el 24 de mayo del 2021, y las concentraciones anuales van desde el 24/5/2020 hasta el 24/5/2021. </w:t>
      </w:r>
    </w:p>
    <w:p w:rsidR="0036460A" w:rsidRPr="00D84329" w:rsidRDefault="0036460A" w:rsidP="0036460A">
      <w:pPr>
        <w:rPr>
          <w:sz w:val="24"/>
          <w:szCs w:val="24"/>
          <w:lang w:val="es-419"/>
        </w:rPr>
      </w:pPr>
      <w:r w:rsidRPr="00D84329">
        <w:rPr>
          <w:sz w:val="24"/>
          <w:szCs w:val="24"/>
          <w:lang w:val="es-419"/>
        </w:rPr>
        <w:t>En el caso del monóxido de carbono (</w:t>
      </w:r>
      <w:r w:rsidRPr="00D84329">
        <w:rPr>
          <w:i/>
          <w:sz w:val="24"/>
          <w:szCs w:val="24"/>
          <w:lang w:val="es-419"/>
        </w:rPr>
        <w:t>Figura 1</w:t>
      </w:r>
      <w:r w:rsidRPr="00D84329">
        <w:rPr>
          <w:sz w:val="24"/>
          <w:szCs w:val="24"/>
          <w:lang w:val="es-419"/>
        </w:rPr>
        <w:t>), el valor mensual promedio fue de 0.032844202 mol/m</w:t>
      </w:r>
      <w:r w:rsidRPr="00D84329">
        <w:rPr>
          <w:sz w:val="24"/>
          <w:szCs w:val="24"/>
          <w:vertAlign w:val="superscript"/>
          <w:lang w:val="es-419"/>
        </w:rPr>
        <w:t>2</w:t>
      </w:r>
      <w:r w:rsidRPr="00D84329">
        <w:rPr>
          <w:sz w:val="24"/>
          <w:szCs w:val="24"/>
          <w:lang w:val="es-419"/>
        </w:rPr>
        <w:t xml:space="preserve"> oscilando entre un valor mínimo de 0.028963687 mol/m</w:t>
      </w:r>
      <w:r w:rsidRPr="00D84329">
        <w:rPr>
          <w:sz w:val="24"/>
          <w:szCs w:val="24"/>
          <w:vertAlign w:val="superscript"/>
          <w:lang w:val="es-419"/>
        </w:rPr>
        <w:t xml:space="preserve">2 </w:t>
      </w:r>
      <w:r w:rsidRPr="00D84329">
        <w:rPr>
          <w:sz w:val="24"/>
          <w:szCs w:val="24"/>
          <w:lang w:val="es-419"/>
        </w:rPr>
        <w:t>y un valor máximo de 0.0397298 mol/m</w:t>
      </w:r>
      <w:r w:rsidRPr="00D84329">
        <w:rPr>
          <w:sz w:val="24"/>
          <w:szCs w:val="24"/>
          <w:vertAlign w:val="superscript"/>
          <w:lang w:val="es-419"/>
        </w:rPr>
        <w:t>2</w:t>
      </w:r>
      <w:r w:rsidRPr="00D84329">
        <w:rPr>
          <w:sz w:val="24"/>
          <w:szCs w:val="24"/>
          <w:lang w:val="es-419"/>
        </w:rPr>
        <w:t>. El valor anual promedio es de 0.028032886 mol/m</w:t>
      </w:r>
      <w:r w:rsidRPr="00D84329">
        <w:rPr>
          <w:sz w:val="24"/>
          <w:szCs w:val="24"/>
          <w:vertAlign w:val="superscript"/>
          <w:lang w:val="es-419"/>
        </w:rPr>
        <w:t>2</w:t>
      </w:r>
      <w:r w:rsidRPr="00D84329">
        <w:rPr>
          <w:sz w:val="24"/>
          <w:szCs w:val="24"/>
          <w:lang w:val="es-419"/>
        </w:rPr>
        <w:t>, el mínimo es de 0.018835669 mol/m</w:t>
      </w:r>
      <w:r w:rsidRPr="00D84329">
        <w:rPr>
          <w:sz w:val="24"/>
          <w:szCs w:val="24"/>
          <w:vertAlign w:val="superscript"/>
          <w:lang w:val="es-419"/>
        </w:rPr>
        <w:t xml:space="preserve">2 </w:t>
      </w:r>
      <w:r w:rsidRPr="00D84329">
        <w:rPr>
          <w:sz w:val="24"/>
          <w:szCs w:val="24"/>
          <w:lang w:val="es-419"/>
        </w:rPr>
        <w:t>y el máximo es de 0.0397298 mol/m</w:t>
      </w:r>
      <w:r w:rsidRPr="00D84329">
        <w:rPr>
          <w:sz w:val="24"/>
          <w:szCs w:val="24"/>
          <w:vertAlign w:val="superscript"/>
          <w:lang w:val="es-419"/>
        </w:rPr>
        <w:t>2</w:t>
      </w:r>
      <w:r w:rsidRPr="00D84329">
        <w:rPr>
          <w:sz w:val="24"/>
          <w:szCs w:val="24"/>
          <w:lang w:val="es-419"/>
        </w:rPr>
        <w:t>. El monóxido de carbono se produce por la combustión incompleta del combustible. Esto generalmente sucede debido a una cantidad insuficiente de aire para la cantidad de combustible. La causa de esta inadecuada proporción de aire-combustible puede ser un equipo mal operado o con poco mantenimiento, limitaciones en el flujo de aire o bajas temperaturas. Las fuentes principales de monóxido de carbono incluyen vehículos, plantas de energía. Las fuentes naturales (como los incendios de bosques) también pueden producir emisiones importantes (</w:t>
      </w:r>
      <w:proofErr w:type="spellStart"/>
      <w:r w:rsidRPr="00D84329">
        <w:rPr>
          <w:sz w:val="24"/>
          <w:szCs w:val="24"/>
        </w:rPr>
        <w:t>Mihelcic</w:t>
      </w:r>
      <w:proofErr w:type="spellEnd"/>
      <w:r w:rsidRPr="00D84329">
        <w:rPr>
          <w:sz w:val="24"/>
          <w:szCs w:val="24"/>
        </w:rPr>
        <w:t xml:space="preserve"> y </w:t>
      </w:r>
      <w:proofErr w:type="spellStart"/>
      <w:r w:rsidRPr="00D84329">
        <w:rPr>
          <w:sz w:val="24"/>
          <w:szCs w:val="24"/>
        </w:rPr>
        <w:t>Zimmerman</w:t>
      </w:r>
      <w:proofErr w:type="spellEnd"/>
      <w:r w:rsidRPr="00D84329">
        <w:rPr>
          <w:sz w:val="24"/>
          <w:szCs w:val="24"/>
        </w:rPr>
        <w:t>, 2011</w:t>
      </w:r>
      <w:r w:rsidRPr="00D84329">
        <w:rPr>
          <w:sz w:val="24"/>
          <w:szCs w:val="24"/>
          <w:lang w:val="es-419"/>
        </w:rPr>
        <w:t xml:space="preserve">). </w:t>
      </w:r>
    </w:p>
    <w:p w:rsidR="0036460A" w:rsidRPr="00D84329" w:rsidRDefault="0036460A" w:rsidP="0036460A">
      <w:pPr>
        <w:rPr>
          <w:sz w:val="24"/>
          <w:szCs w:val="24"/>
          <w:lang w:val="es-419"/>
        </w:rPr>
      </w:pPr>
      <w:r w:rsidRPr="00D84329">
        <w:rPr>
          <w:sz w:val="24"/>
          <w:szCs w:val="24"/>
          <w:lang w:val="es-419"/>
        </w:rPr>
        <w:t xml:space="preserve">En la ciudad de Santa Clara se ha identificado como focos emisores de fuentes móviles un inventario de vehículos de 7359 unidades, 32 omnibus urbanos y 34 taxis. Entre las fuentes fijas la ciudad posee 261 grupos electrógenos para la generación de electricidad, 65 calderas para la generacion de vapor, nueve hornos de fundición de hierro o aluminio y más de 180 hornos o fogones instalados en panaderías, dulcerías y centros de elaboración de alimentos. Tambien hacia el sur-suroeste se manifiesta la penetración de humos desde los dos vertederos ubicados en esta dirección, producto de la incineración espontánea o no controlada dentro de ellos y además se producen pequeños incendios durante la época seca y algunas malas prácticas de quema de caña en los campos alrededores de la ciudad. </w:t>
      </w:r>
    </w:p>
    <w:p w:rsidR="0036460A" w:rsidRPr="00D84329" w:rsidRDefault="0036460A" w:rsidP="0036460A">
      <w:pPr>
        <w:rPr>
          <w:sz w:val="24"/>
          <w:szCs w:val="24"/>
          <w:lang w:val="es-419"/>
        </w:rPr>
      </w:pPr>
      <w:r w:rsidRPr="00D84329">
        <w:rPr>
          <w:sz w:val="24"/>
          <w:szCs w:val="24"/>
          <w:lang w:val="es-419"/>
        </w:rPr>
        <w:t>Según Erazo (2022), el consumo de combustible tradicional y las emisiones de gases efecto invernadero tienen un patron, es decir un aumento en el consumo de energía. Ademas este mismo autor en su trabajo obtuvo una correlacion positiva entre el incremento de los sectores económicos en Perú con la producción del CO</w:t>
      </w:r>
      <w:r w:rsidRPr="00D84329">
        <w:rPr>
          <w:sz w:val="24"/>
          <w:szCs w:val="24"/>
          <w:vertAlign w:val="subscript"/>
          <w:lang w:val="es-419"/>
        </w:rPr>
        <w:t>2</w:t>
      </w:r>
      <w:r w:rsidRPr="00D84329">
        <w:rPr>
          <w:sz w:val="24"/>
          <w:szCs w:val="24"/>
          <w:lang w:val="es-419"/>
        </w:rPr>
        <w:t xml:space="preserve"> y a su vez con los gases de efecto invernadero. En el estudio de </w:t>
      </w:r>
      <w:r w:rsidRPr="00D84329">
        <w:rPr>
          <w:sz w:val="24"/>
          <w:szCs w:val="24"/>
        </w:rPr>
        <w:t xml:space="preserve">Arboleda &amp; Vásquez (2021) donde se compararon datos del 2019 y 2020 del TROPOMI, mostró una reducción de hasta un 18% del CO en la ciudad de QUITO durante la pandemia, debido a que se detuvieron varias de las actividades económicas e impusieron restricciones a la movilidad por lo cual el porcentaje de transporte público, privado y personal bajo enormemente reduciendo el tráfico. En el trabajo de </w:t>
      </w:r>
      <w:proofErr w:type="spellStart"/>
      <w:r w:rsidRPr="00D84329">
        <w:rPr>
          <w:sz w:val="24"/>
          <w:szCs w:val="24"/>
        </w:rPr>
        <w:t>Nuñez</w:t>
      </w:r>
      <w:proofErr w:type="spellEnd"/>
      <w:r w:rsidRPr="00D84329">
        <w:rPr>
          <w:sz w:val="24"/>
          <w:szCs w:val="24"/>
        </w:rPr>
        <w:t xml:space="preserve"> et al., (2018) donde se realizó un inventario de emisiones de fuentes fijas y móviles en el municipio </w:t>
      </w:r>
      <w:proofErr w:type="spellStart"/>
      <w:r w:rsidRPr="00D84329">
        <w:rPr>
          <w:sz w:val="24"/>
          <w:szCs w:val="24"/>
        </w:rPr>
        <w:t>Ranchuelo</w:t>
      </w:r>
      <w:proofErr w:type="spellEnd"/>
      <w:r w:rsidRPr="00D84329">
        <w:rPr>
          <w:sz w:val="24"/>
          <w:szCs w:val="24"/>
        </w:rPr>
        <w:t xml:space="preserve"> de Villa Clara se obtuvo 12,49 t/año de CO; de ello el 66% proviene de las fuentes móviles. </w:t>
      </w:r>
    </w:p>
    <w:p w:rsidR="0036460A" w:rsidRPr="00D84329" w:rsidRDefault="0036460A" w:rsidP="0036460A">
      <w:pPr>
        <w:rPr>
          <w:sz w:val="24"/>
          <w:szCs w:val="24"/>
          <w:lang w:val="es-419"/>
        </w:rPr>
      </w:pPr>
      <w:r w:rsidRPr="00D84329">
        <w:rPr>
          <w:sz w:val="24"/>
          <w:szCs w:val="24"/>
          <w:lang w:val="es-419"/>
        </w:rPr>
        <w:t xml:space="preserve">En la </w:t>
      </w:r>
      <w:r w:rsidRPr="00D84329">
        <w:rPr>
          <w:i/>
          <w:sz w:val="24"/>
          <w:szCs w:val="24"/>
          <w:lang w:val="es-419"/>
        </w:rPr>
        <w:t>Figura 2</w:t>
      </w:r>
      <w:r w:rsidRPr="00D84329">
        <w:rPr>
          <w:sz w:val="24"/>
          <w:szCs w:val="24"/>
          <w:lang w:val="es-419"/>
        </w:rPr>
        <w:t xml:space="preserve"> puede observarse la distribución espacial de la concentración de monóxido de carbono en la provincia de Villa Clara. El área que corresponde a la cuidad de Santa Clara tiene bajas concentraciones.</w:t>
      </w:r>
    </w:p>
    <w:p w:rsidR="0036460A" w:rsidRPr="00D84329" w:rsidRDefault="0036460A" w:rsidP="0036460A">
      <w:pPr>
        <w:rPr>
          <w:sz w:val="24"/>
          <w:szCs w:val="24"/>
          <w:lang w:val="es-419"/>
        </w:rPr>
      </w:pPr>
    </w:p>
    <w:p w:rsidR="0036460A" w:rsidRPr="00D84329" w:rsidRDefault="0036460A" w:rsidP="0036460A">
      <w:pPr>
        <w:spacing w:line="360" w:lineRule="auto"/>
        <w:ind w:firstLine="0"/>
        <w:rPr>
          <w:b/>
          <w:sz w:val="24"/>
          <w:szCs w:val="24"/>
        </w:rPr>
      </w:pPr>
      <w:r w:rsidRPr="00D84329">
        <w:rPr>
          <w:noProof/>
          <w:sz w:val="24"/>
          <w:szCs w:val="24"/>
          <w:lang w:eastAsia="es-ES"/>
        </w:rPr>
        <w:lastRenderedPageBreak/>
        <w:drawing>
          <wp:inline distT="0" distB="0" distL="0" distR="0" wp14:anchorId="682A2D9F" wp14:editId="35251E47">
            <wp:extent cx="2567940" cy="314642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0" t="6492" r="10017" b="13177"/>
                    <a:stretch/>
                  </pic:blipFill>
                  <pic:spPr bwMode="auto">
                    <a:xfrm>
                      <a:off x="0" y="0"/>
                      <a:ext cx="2583009" cy="3164889"/>
                    </a:xfrm>
                    <a:prstGeom prst="rect">
                      <a:avLst/>
                    </a:prstGeom>
                    <a:ln>
                      <a:noFill/>
                    </a:ln>
                    <a:extLst>
                      <a:ext uri="{53640926-AAD7-44D8-BBD7-CCE9431645EC}">
                        <a14:shadowObscured xmlns:a14="http://schemas.microsoft.com/office/drawing/2010/main"/>
                      </a:ext>
                    </a:extLst>
                  </pic:spPr>
                </pic:pic>
              </a:graphicData>
            </a:graphic>
          </wp:inline>
        </w:drawing>
      </w:r>
      <w:r w:rsidRPr="00D84329">
        <w:rPr>
          <w:noProof/>
          <w:sz w:val="24"/>
          <w:szCs w:val="24"/>
          <w:lang w:eastAsia="es-ES"/>
        </w:rPr>
        <w:drawing>
          <wp:inline distT="0" distB="0" distL="0" distR="0" wp14:anchorId="6C076ABF" wp14:editId="7397233C">
            <wp:extent cx="2948940" cy="314515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8" t="7099" r="9569" b="12562"/>
                    <a:stretch/>
                  </pic:blipFill>
                  <pic:spPr bwMode="auto">
                    <a:xfrm>
                      <a:off x="0" y="0"/>
                      <a:ext cx="2949311" cy="3145551"/>
                    </a:xfrm>
                    <a:prstGeom prst="rect">
                      <a:avLst/>
                    </a:prstGeom>
                    <a:ln>
                      <a:noFill/>
                    </a:ln>
                    <a:extLst>
                      <a:ext uri="{53640926-AAD7-44D8-BBD7-CCE9431645EC}">
                        <a14:shadowObscured xmlns:a14="http://schemas.microsoft.com/office/drawing/2010/main"/>
                      </a:ext>
                    </a:extLst>
                  </pic:spPr>
                </pic:pic>
              </a:graphicData>
            </a:graphic>
          </wp:inline>
        </w:drawing>
      </w:r>
    </w:p>
    <w:p w:rsidR="0036460A" w:rsidRPr="00D84329" w:rsidRDefault="0036460A" w:rsidP="0036460A">
      <w:pPr>
        <w:spacing w:line="360" w:lineRule="auto"/>
        <w:jc w:val="center"/>
        <w:rPr>
          <w:sz w:val="24"/>
          <w:szCs w:val="24"/>
          <w:lang w:val="es-419"/>
        </w:rPr>
      </w:pPr>
      <w:r w:rsidRPr="00D84329">
        <w:rPr>
          <w:b/>
          <w:sz w:val="24"/>
          <w:szCs w:val="24"/>
        </w:rPr>
        <w:t>Figura 1.</w:t>
      </w:r>
      <w:r w:rsidRPr="00D84329">
        <w:rPr>
          <w:sz w:val="24"/>
          <w:szCs w:val="24"/>
          <w:lang w:val="es-419"/>
        </w:rPr>
        <w:t xml:space="preserve"> </w:t>
      </w:r>
      <w:r w:rsidRPr="00D84329">
        <w:rPr>
          <w:sz w:val="24"/>
          <w:szCs w:val="24"/>
        </w:rPr>
        <w:t xml:space="preserve">Concentración de monóxido de carbono (mol/m2) mensual y anual en la ciudad de Santa Clara. </w:t>
      </w:r>
    </w:p>
    <w:p w:rsidR="0036460A" w:rsidRPr="00D84329" w:rsidRDefault="0036460A" w:rsidP="0036460A">
      <w:pPr>
        <w:spacing w:line="360" w:lineRule="auto"/>
        <w:ind w:firstLine="0"/>
        <w:jc w:val="center"/>
        <w:rPr>
          <w:sz w:val="24"/>
          <w:szCs w:val="24"/>
        </w:rPr>
      </w:pPr>
      <w:r w:rsidRPr="00D84329">
        <w:rPr>
          <w:noProof/>
          <w:sz w:val="24"/>
          <w:szCs w:val="24"/>
          <w:lang w:eastAsia="es-ES"/>
        </w:rPr>
        <w:drawing>
          <wp:inline distT="0" distB="0" distL="0" distR="0" wp14:anchorId="082FACC3" wp14:editId="280360F9">
            <wp:extent cx="5316415" cy="25956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780" b="4430"/>
                    <a:stretch/>
                  </pic:blipFill>
                  <pic:spPr bwMode="auto">
                    <a:xfrm>
                      <a:off x="0" y="0"/>
                      <a:ext cx="5348964" cy="2611584"/>
                    </a:xfrm>
                    <a:prstGeom prst="rect">
                      <a:avLst/>
                    </a:prstGeom>
                    <a:ln>
                      <a:noFill/>
                    </a:ln>
                    <a:extLst>
                      <a:ext uri="{53640926-AAD7-44D8-BBD7-CCE9431645EC}">
                        <a14:shadowObscured xmlns:a14="http://schemas.microsoft.com/office/drawing/2010/main"/>
                      </a:ext>
                    </a:extLst>
                  </pic:spPr>
                </pic:pic>
              </a:graphicData>
            </a:graphic>
          </wp:inline>
        </w:drawing>
      </w:r>
    </w:p>
    <w:p w:rsidR="0036460A" w:rsidRPr="00D84329" w:rsidRDefault="0036460A" w:rsidP="0036460A">
      <w:pPr>
        <w:spacing w:line="360" w:lineRule="auto"/>
        <w:jc w:val="center"/>
        <w:rPr>
          <w:sz w:val="24"/>
          <w:szCs w:val="24"/>
        </w:rPr>
      </w:pPr>
      <w:r w:rsidRPr="00D84329">
        <w:rPr>
          <w:b/>
          <w:sz w:val="24"/>
          <w:szCs w:val="24"/>
        </w:rPr>
        <w:t>Figura 2.</w:t>
      </w:r>
      <w:r w:rsidRPr="00D84329">
        <w:rPr>
          <w:sz w:val="24"/>
          <w:szCs w:val="24"/>
        </w:rPr>
        <w:t xml:space="preserve"> Distribución espacial de la concentración de monóxido de carbono en la provincia de Villa Clara.</w:t>
      </w:r>
    </w:p>
    <w:p w:rsidR="0036460A" w:rsidRPr="00D84329" w:rsidRDefault="0036460A" w:rsidP="0036460A">
      <w:pPr>
        <w:rPr>
          <w:sz w:val="24"/>
          <w:szCs w:val="24"/>
          <w:lang w:val="es-419"/>
        </w:rPr>
      </w:pPr>
      <w:r w:rsidRPr="00D84329">
        <w:rPr>
          <w:sz w:val="24"/>
          <w:szCs w:val="24"/>
          <w:lang w:val="es-419"/>
        </w:rPr>
        <w:t>El ozono mensual para la ciudad de Santa Clara oscila entre 0.119572751 mol/m</w:t>
      </w:r>
      <w:r w:rsidRPr="00D84329">
        <w:rPr>
          <w:sz w:val="24"/>
          <w:szCs w:val="24"/>
          <w:vertAlign w:val="superscript"/>
          <w:lang w:val="es-419"/>
        </w:rPr>
        <w:t>2</w:t>
      </w:r>
      <w:r w:rsidRPr="00D84329">
        <w:rPr>
          <w:sz w:val="24"/>
          <w:szCs w:val="24"/>
          <w:lang w:val="es-419"/>
        </w:rPr>
        <w:t xml:space="preserve"> y 0.141035154 mol/m</w:t>
      </w:r>
      <w:r w:rsidRPr="00D84329">
        <w:rPr>
          <w:sz w:val="24"/>
          <w:szCs w:val="24"/>
          <w:vertAlign w:val="superscript"/>
          <w:lang w:val="es-419"/>
        </w:rPr>
        <w:t>2</w:t>
      </w:r>
      <w:r w:rsidRPr="00D84329">
        <w:rPr>
          <w:sz w:val="24"/>
          <w:szCs w:val="24"/>
          <w:lang w:val="es-419"/>
        </w:rPr>
        <w:t xml:space="preserve"> con un valor medio de 0.128321716 mol/m</w:t>
      </w:r>
      <w:r w:rsidRPr="00D84329">
        <w:rPr>
          <w:sz w:val="24"/>
          <w:szCs w:val="24"/>
          <w:vertAlign w:val="superscript"/>
          <w:lang w:val="es-419"/>
        </w:rPr>
        <w:t>2</w:t>
      </w:r>
      <w:r w:rsidRPr="00D84329">
        <w:rPr>
          <w:sz w:val="24"/>
          <w:szCs w:val="24"/>
          <w:lang w:val="es-419"/>
        </w:rPr>
        <w:t xml:space="preserve"> y anual presenta una mayor variabilidad entre 0.105241641 mol/m</w:t>
      </w:r>
      <w:r w:rsidRPr="00D84329">
        <w:rPr>
          <w:sz w:val="24"/>
          <w:szCs w:val="24"/>
          <w:vertAlign w:val="superscript"/>
          <w:lang w:val="es-419"/>
        </w:rPr>
        <w:t>2</w:t>
      </w:r>
      <w:r w:rsidRPr="00D84329">
        <w:rPr>
          <w:sz w:val="24"/>
          <w:szCs w:val="24"/>
          <w:lang w:val="es-419"/>
        </w:rPr>
        <w:t xml:space="preserve"> y 0.141035154 mol/m</w:t>
      </w:r>
      <w:r w:rsidRPr="00D84329">
        <w:rPr>
          <w:sz w:val="24"/>
          <w:szCs w:val="24"/>
          <w:vertAlign w:val="superscript"/>
          <w:lang w:val="es-419"/>
        </w:rPr>
        <w:t>2</w:t>
      </w:r>
      <w:r w:rsidRPr="00D84329">
        <w:rPr>
          <w:sz w:val="24"/>
          <w:szCs w:val="24"/>
          <w:lang w:val="es-419"/>
        </w:rPr>
        <w:t xml:space="preserve"> con un valor medio de 0.121398365 mol/m</w:t>
      </w:r>
      <w:r w:rsidRPr="00D84329">
        <w:rPr>
          <w:sz w:val="24"/>
          <w:szCs w:val="24"/>
          <w:vertAlign w:val="superscript"/>
          <w:lang w:val="es-419"/>
        </w:rPr>
        <w:t>2</w:t>
      </w:r>
      <w:r w:rsidRPr="00D84329">
        <w:rPr>
          <w:sz w:val="24"/>
          <w:szCs w:val="24"/>
          <w:lang w:val="es-419"/>
        </w:rPr>
        <w:t xml:space="preserve"> (</w:t>
      </w:r>
      <w:r w:rsidRPr="00D84329">
        <w:rPr>
          <w:i/>
          <w:sz w:val="24"/>
          <w:szCs w:val="24"/>
          <w:lang w:val="es-419"/>
        </w:rPr>
        <w:t>Figura 3</w:t>
      </w:r>
      <w:r w:rsidRPr="00D84329">
        <w:rPr>
          <w:sz w:val="24"/>
          <w:szCs w:val="24"/>
          <w:lang w:val="es-419"/>
        </w:rPr>
        <w:t xml:space="preserve">). En la </w:t>
      </w:r>
      <w:r w:rsidRPr="00D84329">
        <w:rPr>
          <w:i/>
          <w:sz w:val="24"/>
          <w:szCs w:val="24"/>
          <w:lang w:val="es-419"/>
        </w:rPr>
        <w:t>Figura 4</w:t>
      </w:r>
      <w:r w:rsidRPr="00D84329">
        <w:rPr>
          <w:sz w:val="24"/>
          <w:szCs w:val="24"/>
          <w:lang w:val="es-419"/>
        </w:rPr>
        <w:t xml:space="preserve"> puede observarse la distribución espacial de la concentración de ozono, la cual se corresponde con valores medio de concentración. El ozono no proviene de ninguna fuente directa, es creado por una compleja secuencia de reacciones químicas generadas por la luz del sol de hidrocarbonos reactivos. Los hidrocarbonos reactivos son una clase de compuestos en los que se incluyen muchos productos industriales, comerciales y personales (benceno, propano, compuestos de la gasolina y otros). Algunos de estos </w:t>
      </w:r>
      <w:r w:rsidRPr="00D84329">
        <w:rPr>
          <w:sz w:val="24"/>
          <w:szCs w:val="24"/>
          <w:lang w:val="es-419"/>
        </w:rPr>
        <w:lastRenderedPageBreak/>
        <w:t>materiales escapan a la atmósfera accidentalmente y otros pueden ser liberados en pequeñas cantidades por medio de descargas autorizadas. Los óxidos nitrosos (notablemente el NO y el NO</w:t>
      </w:r>
      <w:r w:rsidRPr="00D84329">
        <w:rPr>
          <w:sz w:val="24"/>
          <w:szCs w:val="24"/>
          <w:vertAlign w:val="subscript"/>
          <w:lang w:val="es-419"/>
        </w:rPr>
        <w:t>2</w:t>
      </w:r>
      <w:r w:rsidRPr="00D84329">
        <w:rPr>
          <w:sz w:val="24"/>
          <w:szCs w:val="24"/>
          <w:lang w:val="es-419"/>
        </w:rPr>
        <w:t>) se producen al quemarse un combustible con aire. Cuando estos compuestos están presentes en el aire y el sol se eleva, se inicia una secuencia de reacciones químicas y comienza la formación del ozono. (</w:t>
      </w:r>
      <w:proofErr w:type="spellStart"/>
      <w:r w:rsidRPr="00D84329">
        <w:rPr>
          <w:sz w:val="24"/>
          <w:szCs w:val="24"/>
        </w:rPr>
        <w:t>Mihelcic</w:t>
      </w:r>
      <w:proofErr w:type="spellEnd"/>
      <w:r w:rsidRPr="00D84329">
        <w:rPr>
          <w:sz w:val="24"/>
          <w:szCs w:val="24"/>
        </w:rPr>
        <w:t xml:space="preserve"> y </w:t>
      </w:r>
      <w:proofErr w:type="spellStart"/>
      <w:r w:rsidRPr="00D84329">
        <w:rPr>
          <w:sz w:val="24"/>
          <w:szCs w:val="24"/>
        </w:rPr>
        <w:t>Zimmerman</w:t>
      </w:r>
      <w:proofErr w:type="spellEnd"/>
      <w:r w:rsidRPr="00D84329">
        <w:rPr>
          <w:sz w:val="24"/>
          <w:szCs w:val="24"/>
        </w:rPr>
        <w:t>, 2011</w:t>
      </w:r>
      <w:r w:rsidRPr="00D84329">
        <w:rPr>
          <w:sz w:val="24"/>
          <w:szCs w:val="24"/>
          <w:lang w:val="es-419"/>
        </w:rPr>
        <w:t>)</w:t>
      </w:r>
    </w:p>
    <w:p w:rsidR="0036460A" w:rsidRPr="00D84329" w:rsidRDefault="0036460A" w:rsidP="0036460A">
      <w:pPr>
        <w:rPr>
          <w:sz w:val="24"/>
          <w:szCs w:val="24"/>
          <w:lang w:val="es-419"/>
        </w:rPr>
      </w:pPr>
      <w:r w:rsidRPr="00D84329">
        <w:rPr>
          <w:sz w:val="24"/>
          <w:szCs w:val="24"/>
          <w:lang w:val="es-419"/>
        </w:rPr>
        <w:t>El ozono también tiene un efecto perjudicial en los ecosistemas. Las plantas sensibles pueden ser dañadas por el ozono, haciéndolas mucho más susceptibles a enfermedades, insectos, tensiones climáticas y competitividad. Tal daño a las plantas produce ciertas ondas a través de la cadena alimentaria de los ecosistemas. Como no todas las plantas son similarmente sensibles al ozono, tal contaminación puede reducir la biodiversidad en un ecosistema. En los sistemas agrícolas, el ozono reduce el rendimiento de la cosecha y la productividad de los bosques. El impacto estético también es evidente, ya que el ozono daña la apariencia de la vegetación en los espacios verdes urbanos, los parques nacionales y las áreas de recreación (</w:t>
      </w:r>
      <w:proofErr w:type="spellStart"/>
      <w:r w:rsidRPr="00D84329">
        <w:rPr>
          <w:sz w:val="24"/>
          <w:szCs w:val="24"/>
        </w:rPr>
        <w:t>Mihelcic</w:t>
      </w:r>
      <w:proofErr w:type="spellEnd"/>
      <w:r w:rsidRPr="00D84329">
        <w:rPr>
          <w:sz w:val="24"/>
          <w:szCs w:val="24"/>
        </w:rPr>
        <w:t xml:space="preserve"> y </w:t>
      </w:r>
      <w:proofErr w:type="spellStart"/>
      <w:r w:rsidRPr="00D84329">
        <w:rPr>
          <w:sz w:val="24"/>
          <w:szCs w:val="24"/>
        </w:rPr>
        <w:t>Zimmerman</w:t>
      </w:r>
      <w:proofErr w:type="spellEnd"/>
      <w:r w:rsidRPr="00D84329">
        <w:rPr>
          <w:sz w:val="24"/>
          <w:szCs w:val="24"/>
        </w:rPr>
        <w:t>, 2011</w:t>
      </w:r>
      <w:r w:rsidRPr="00D84329">
        <w:rPr>
          <w:sz w:val="24"/>
          <w:szCs w:val="24"/>
          <w:lang w:val="es-419"/>
        </w:rPr>
        <w:t>).</w:t>
      </w:r>
    </w:p>
    <w:p w:rsidR="0036460A" w:rsidRPr="00D84329" w:rsidRDefault="0036460A" w:rsidP="0036460A">
      <w:pPr>
        <w:rPr>
          <w:sz w:val="24"/>
          <w:szCs w:val="24"/>
          <w:lang w:val="es-419"/>
        </w:rPr>
      </w:pPr>
      <w:r w:rsidRPr="00D84329">
        <w:rPr>
          <w:sz w:val="24"/>
          <w:szCs w:val="24"/>
          <w:lang w:val="es-419"/>
        </w:rPr>
        <w:t>En el estudio de Arboleda &amp; Vásquez (2021) se realizó una comparación entre los datos medidos en tierra y las aportadas por TROPOMI donde se obtuvo una alta correlación positiva entre O3_SATELITE y O3_TIERRA, a su vez esta correlación fue altamente significativa. Además en este mismo trabajo se obtuvo una alta correlación positiva y  significativa entre CO_SATELITE y O3_TIERRA, por lo que indica que ambas variables estan interrelacionadas. Asi mismo en los datos medidos en tierra durante el 2019 y 2020 en la generación de O</w:t>
      </w:r>
      <w:r w:rsidRPr="00D84329">
        <w:rPr>
          <w:sz w:val="24"/>
          <w:szCs w:val="24"/>
          <w:vertAlign w:val="subscript"/>
          <w:lang w:val="es-419"/>
        </w:rPr>
        <w:t xml:space="preserve">3 </w:t>
      </w:r>
      <w:r w:rsidRPr="00D84329">
        <w:rPr>
          <w:sz w:val="24"/>
          <w:szCs w:val="24"/>
          <w:lang w:val="es-419"/>
        </w:rPr>
        <w:t>en la ciudad de Quito para el tiempo de confinamiento mostró una disminución de hasta un 14%, sin embargo posterior al confinamiento aumentó un 28%.</w:t>
      </w:r>
    </w:p>
    <w:p w:rsidR="0036460A" w:rsidRPr="00D84329" w:rsidRDefault="0036460A" w:rsidP="0036460A">
      <w:pPr>
        <w:rPr>
          <w:sz w:val="24"/>
          <w:szCs w:val="24"/>
          <w:lang w:val="es-419"/>
        </w:rPr>
      </w:pPr>
    </w:p>
    <w:p w:rsidR="0036460A" w:rsidRPr="00D84329" w:rsidRDefault="0036460A" w:rsidP="0036460A">
      <w:pPr>
        <w:rPr>
          <w:sz w:val="24"/>
          <w:szCs w:val="24"/>
          <w:lang w:val="es-419"/>
        </w:rPr>
      </w:pPr>
    </w:p>
    <w:p w:rsidR="0036460A" w:rsidRPr="00D84329" w:rsidRDefault="0036460A" w:rsidP="0036460A">
      <w:pPr>
        <w:spacing w:line="360" w:lineRule="auto"/>
        <w:ind w:firstLine="0"/>
        <w:rPr>
          <w:sz w:val="24"/>
          <w:szCs w:val="24"/>
        </w:rPr>
      </w:pPr>
      <w:r w:rsidRPr="00D84329">
        <w:rPr>
          <w:noProof/>
          <w:sz w:val="24"/>
          <w:szCs w:val="24"/>
          <w:lang w:eastAsia="es-ES"/>
        </w:rPr>
        <w:drawing>
          <wp:inline distT="0" distB="0" distL="0" distR="0" wp14:anchorId="24AC09C6" wp14:editId="76FFB82F">
            <wp:extent cx="2703444" cy="3171162"/>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3" t="5478" r="9886" b="13573"/>
                    <a:stretch/>
                  </pic:blipFill>
                  <pic:spPr bwMode="auto">
                    <a:xfrm>
                      <a:off x="0" y="0"/>
                      <a:ext cx="2714531" cy="3184167"/>
                    </a:xfrm>
                    <a:prstGeom prst="rect">
                      <a:avLst/>
                    </a:prstGeom>
                    <a:ln>
                      <a:noFill/>
                    </a:ln>
                    <a:extLst>
                      <a:ext uri="{53640926-AAD7-44D8-BBD7-CCE9431645EC}">
                        <a14:shadowObscured xmlns:a14="http://schemas.microsoft.com/office/drawing/2010/main"/>
                      </a:ext>
                    </a:extLst>
                  </pic:spPr>
                </pic:pic>
              </a:graphicData>
            </a:graphic>
          </wp:inline>
        </w:drawing>
      </w:r>
      <w:r w:rsidRPr="00D84329">
        <w:rPr>
          <w:noProof/>
          <w:sz w:val="24"/>
          <w:szCs w:val="24"/>
          <w:lang w:eastAsia="es-ES"/>
        </w:rPr>
        <w:drawing>
          <wp:inline distT="0" distB="0" distL="0" distR="0" wp14:anchorId="4B49D950" wp14:editId="6B229DD0">
            <wp:extent cx="2671639" cy="31861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5" t="5071" r="9297" b="13583"/>
                    <a:stretch/>
                  </pic:blipFill>
                  <pic:spPr bwMode="auto">
                    <a:xfrm>
                      <a:off x="0" y="0"/>
                      <a:ext cx="2707421" cy="3228811"/>
                    </a:xfrm>
                    <a:prstGeom prst="rect">
                      <a:avLst/>
                    </a:prstGeom>
                    <a:ln>
                      <a:noFill/>
                    </a:ln>
                    <a:extLst>
                      <a:ext uri="{53640926-AAD7-44D8-BBD7-CCE9431645EC}">
                        <a14:shadowObscured xmlns:a14="http://schemas.microsoft.com/office/drawing/2010/main"/>
                      </a:ext>
                    </a:extLst>
                  </pic:spPr>
                </pic:pic>
              </a:graphicData>
            </a:graphic>
          </wp:inline>
        </w:drawing>
      </w:r>
    </w:p>
    <w:p w:rsidR="0036460A" w:rsidRPr="00D84329" w:rsidRDefault="0036460A" w:rsidP="0036460A">
      <w:pPr>
        <w:spacing w:line="360" w:lineRule="auto"/>
        <w:jc w:val="center"/>
        <w:rPr>
          <w:sz w:val="24"/>
          <w:szCs w:val="24"/>
        </w:rPr>
      </w:pPr>
      <w:r w:rsidRPr="00D84329">
        <w:rPr>
          <w:b/>
          <w:sz w:val="24"/>
          <w:szCs w:val="24"/>
        </w:rPr>
        <w:t>Figura 3</w:t>
      </w:r>
      <w:r w:rsidRPr="00D84329">
        <w:rPr>
          <w:sz w:val="24"/>
          <w:szCs w:val="24"/>
        </w:rPr>
        <w:t xml:space="preserve">. Concentración de ozono (mol/m2) mensual y anual en la ciudad de Santa Clara. </w:t>
      </w:r>
    </w:p>
    <w:p w:rsidR="0036460A" w:rsidRPr="00D84329" w:rsidRDefault="0036460A" w:rsidP="0036460A">
      <w:pPr>
        <w:spacing w:line="360" w:lineRule="auto"/>
        <w:ind w:firstLine="0"/>
        <w:jc w:val="center"/>
        <w:rPr>
          <w:sz w:val="24"/>
          <w:szCs w:val="24"/>
        </w:rPr>
      </w:pPr>
      <w:r w:rsidRPr="00D84329">
        <w:rPr>
          <w:noProof/>
          <w:sz w:val="24"/>
          <w:szCs w:val="24"/>
          <w:lang w:eastAsia="es-ES"/>
        </w:rPr>
        <w:lastRenderedPageBreak/>
        <w:drawing>
          <wp:inline distT="0" distB="0" distL="0" distR="0" wp14:anchorId="2A0D26E8" wp14:editId="559A4CF3">
            <wp:extent cx="5400040" cy="26441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77" b="4682"/>
                    <a:stretch/>
                  </pic:blipFill>
                  <pic:spPr bwMode="auto">
                    <a:xfrm>
                      <a:off x="0" y="0"/>
                      <a:ext cx="5400040" cy="2644140"/>
                    </a:xfrm>
                    <a:prstGeom prst="rect">
                      <a:avLst/>
                    </a:prstGeom>
                    <a:ln>
                      <a:noFill/>
                    </a:ln>
                    <a:extLst>
                      <a:ext uri="{53640926-AAD7-44D8-BBD7-CCE9431645EC}">
                        <a14:shadowObscured xmlns:a14="http://schemas.microsoft.com/office/drawing/2010/main"/>
                      </a:ext>
                    </a:extLst>
                  </pic:spPr>
                </pic:pic>
              </a:graphicData>
            </a:graphic>
          </wp:inline>
        </w:drawing>
      </w:r>
    </w:p>
    <w:p w:rsidR="0036460A" w:rsidRPr="00D84329" w:rsidRDefault="0036460A" w:rsidP="0036460A">
      <w:pPr>
        <w:spacing w:line="360" w:lineRule="auto"/>
        <w:jc w:val="center"/>
        <w:rPr>
          <w:sz w:val="24"/>
          <w:szCs w:val="24"/>
        </w:rPr>
      </w:pPr>
      <w:r w:rsidRPr="00D84329">
        <w:rPr>
          <w:b/>
          <w:sz w:val="24"/>
          <w:szCs w:val="24"/>
        </w:rPr>
        <w:t>Figura 4.</w:t>
      </w:r>
      <w:r w:rsidRPr="00D84329">
        <w:rPr>
          <w:sz w:val="24"/>
          <w:szCs w:val="24"/>
        </w:rPr>
        <w:t xml:space="preserve"> Distribución espacial de la concentración de ozono en la provincia de Villa Clara.</w:t>
      </w:r>
    </w:p>
    <w:p w:rsidR="0036460A" w:rsidRPr="00D84329" w:rsidRDefault="0036460A" w:rsidP="0036460A">
      <w:pPr>
        <w:jc w:val="center"/>
        <w:rPr>
          <w:sz w:val="24"/>
          <w:szCs w:val="24"/>
        </w:rPr>
      </w:pPr>
    </w:p>
    <w:p w:rsidR="0036460A" w:rsidRPr="00D84329" w:rsidRDefault="0036460A" w:rsidP="0036460A">
      <w:pPr>
        <w:rPr>
          <w:sz w:val="24"/>
          <w:szCs w:val="24"/>
          <w:lang w:val="es-419"/>
        </w:rPr>
      </w:pPr>
      <w:r w:rsidRPr="00D84329">
        <w:rPr>
          <w:sz w:val="24"/>
          <w:szCs w:val="24"/>
          <w:lang w:val="es-419"/>
        </w:rPr>
        <w:t>El dióxido de azufre tiene concentraciones mensual promedio de 2.475E-05 mol/m</w:t>
      </w:r>
      <w:r w:rsidRPr="00D84329">
        <w:rPr>
          <w:sz w:val="24"/>
          <w:szCs w:val="24"/>
          <w:vertAlign w:val="superscript"/>
          <w:lang w:val="es-419"/>
        </w:rPr>
        <w:t>2</w:t>
      </w:r>
      <w:r w:rsidRPr="00D84329">
        <w:rPr>
          <w:sz w:val="24"/>
          <w:szCs w:val="24"/>
          <w:lang w:val="es-419"/>
        </w:rPr>
        <w:t xml:space="preserve"> con valores máximo de 0.000513454 mol/m</w:t>
      </w:r>
      <w:r w:rsidRPr="00D84329">
        <w:rPr>
          <w:sz w:val="24"/>
          <w:szCs w:val="24"/>
          <w:vertAlign w:val="superscript"/>
          <w:lang w:val="es-419"/>
        </w:rPr>
        <w:t>2</w:t>
      </w:r>
      <w:r w:rsidRPr="00D84329">
        <w:rPr>
          <w:sz w:val="24"/>
          <w:szCs w:val="24"/>
          <w:lang w:val="es-419"/>
        </w:rPr>
        <w:t xml:space="preserve"> y valor mínimo de -0.000710455 mol/m</w:t>
      </w:r>
      <w:r w:rsidRPr="00D84329">
        <w:rPr>
          <w:sz w:val="24"/>
          <w:szCs w:val="24"/>
          <w:vertAlign w:val="superscript"/>
          <w:lang w:val="es-419"/>
        </w:rPr>
        <w:t>2</w:t>
      </w:r>
      <w:r w:rsidRPr="00D84329">
        <w:rPr>
          <w:sz w:val="24"/>
          <w:szCs w:val="24"/>
          <w:lang w:val="es-419"/>
        </w:rPr>
        <w:t xml:space="preserve"> (</w:t>
      </w:r>
      <w:r w:rsidRPr="00D84329">
        <w:rPr>
          <w:i/>
          <w:sz w:val="24"/>
          <w:szCs w:val="24"/>
          <w:lang w:val="es-419"/>
        </w:rPr>
        <w:t>Figura 5</w:t>
      </w:r>
      <w:r w:rsidRPr="00D84329">
        <w:rPr>
          <w:sz w:val="24"/>
          <w:szCs w:val="24"/>
          <w:lang w:val="es-419"/>
        </w:rPr>
        <w:t>). La concentración anual promedio es de 1.39641E-07 mol/m</w:t>
      </w:r>
      <w:r w:rsidRPr="00D84329">
        <w:rPr>
          <w:sz w:val="24"/>
          <w:szCs w:val="24"/>
          <w:vertAlign w:val="superscript"/>
          <w:lang w:val="es-419"/>
        </w:rPr>
        <w:t xml:space="preserve">2 </w:t>
      </w:r>
      <w:r w:rsidRPr="00D84329">
        <w:rPr>
          <w:sz w:val="24"/>
          <w:szCs w:val="24"/>
          <w:lang w:val="es-419"/>
        </w:rPr>
        <w:t>con valores máximo de 0.001069371 mol/m</w:t>
      </w:r>
      <w:r w:rsidRPr="00D84329">
        <w:rPr>
          <w:sz w:val="24"/>
          <w:szCs w:val="24"/>
          <w:vertAlign w:val="superscript"/>
          <w:lang w:val="es-419"/>
        </w:rPr>
        <w:t>2</w:t>
      </w:r>
      <w:r w:rsidRPr="00D84329">
        <w:rPr>
          <w:sz w:val="24"/>
          <w:szCs w:val="24"/>
          <w:lang w:val="es-419"/>
        </w:rPr>
        <w:t xml:space="preserve"> y valor mínimo -0.000884649 mol/m</w:t>
      </w:r>
      <w:r w:rsidRPr="00D84329">
        <w:rPr>
          <w:sz w:val="24"/>
          <w:szCs w:val="24"/>
          <w:vertAlign w:val="superscript"/>
          <w:lang w:val="es-419"/>
        </w:rPr>
        <w:t>2</w:t>
      </w:r>
      <w:r w:rsidRPr="00D84329">
        <w:rPr>
          <w:sz w:val="24"/>
          <w:szCs w:val="24"/>
          <w:lang w:val="es-419"/>
        </w:rPr>
        <w:t xml:space="preserve">. En la </w:t>
      </w:r>
      <w:r w:rsidRPr="00D84329">
        <w:rPr>
          <w:i/>
          <w:sz w:val="24"/>
          <w:szCs w:val="24"/>
          <w:lang w:val="es-419"/>
        </w:rPr>
        <w:t xml:space="preserve">Figura 6 </w:t>
      </w:r>
      <w:r w:rsidRPr="00D84329">
        <w:rPr>
          <w:sz w:val="24"/>
          <w:szCs w:val="24"/>
          <w:lang w:val="es-419"/>
        </w:rPr>
        <w:t xml:space="preserve">se muestra la distribución espacial de la concentración de dióxido de azufre en la que puede observarse tonalidades que representan concentraciones muy bajas y zonas en la que no es detectable dicho contaminante. </w:t>
      </w:r>
    </w:p>
    <w:p w:rsidR="0036460A" w:rsidRPr="00D84329" w:rsidRDefault="0036460A" w:rsidP="0036460A">
      <w:pPr>
        <w:rPr>
          <w:sz w:val="24"/>
          <w:szCs w:val="24"/>
          <w:lang w:val="es-419"/>
        </w:rPr>
      </w:pPr>
      <w:r w:rsidRPr="00D84329">
        <w:rPr>
          <w:sz w:val="24"/>
          <w:szCs w:val="24"/>
          <w:lang w:val="es-419"/>
        </w:rPr>
        <w:t>El azufre está presente en muchas materias primas, incluyendo petróleo, carbón, aluminio, cobre y hierro. Cuando estos combustibles se queman o estos metales se extraen del mineral, el azufre puede oxidarse produciéndose diferentes gases de óxido de azufre. El más común de éstos es el dióxido de azufre (SO</w:t>
      </w:r>
      <w:r w:rsidRPr="00D84329">
        <w:rPr>
          <w:sz w:val="24"/>
          <w:szCs w:val="24"/>
          <w:vertAlign w:val="subscript"/>
          <w:lang w:val="es-419"/>
        </w:rPr>
        <w:t>2</w:t>
      </w:r>
      <w:r w:rsidRPr="00D84329">
        <w:rPr>
          <w:sz w:val="24"/>
          <w:szCs w:val="24"/>
          <w:lang w:val="es-419"/>
        </w:rPr>
        <w:t xml:space="preserve">). En el caso de la ciudad de Santa Clara estas fuentes serán los grupos electrógenos, el horno de fundición de la fábrica de Planta Mecánica, las fábricas de alimentos (panaderías, matadero, torrefactora de café), hospitales entre otros que presentan calderas.  </w:t>
      </w:r>
    </w:p>
    <w:p w:rsidR="0036460A" w:rsidRPr="00D84329" w:rsidRDefault="0036460A" w:rsidP="0036460A">
      <w:pPr>
        <w:rPr>
          <w:sz w:val="24"/>
          <w:szCs w:val="24"/>
          <w:lang w:val="es-419"/>
        </w:rPr>
      </w:pPr>
      <w:r w:rsidRPr="00D84329">
        <w:rPr>
          <w:sz w:val="24"/>
          <w:szCs w:val="24"/>
          <w:lang w:val="es-419"/>
        </w:rPr>
        <w:t>En el estudio de Núñez et al., (2019), sobre fuentes contaminante fijas de SO</w:t>
      </w:r>
      <w:r w:rsidRPr="00D84329">
        <w:rPr>
          <w:sz w:val="24"/>
          <w:szCs w:val="24"/>
          <w:vertAlign w:val="subscript"/>
          <w:lang w:val="es-419"/>
        </w:rPr>
        <w:t>2</w:t>
      </w:r>
      <w:r w:rsidRPr="00D84329">
        <w:rPr>
          <w:sz w:val="24"/>
          <w:szCs w:val="24"/>
          <w:lang w:val="es-419"/>
        </w:rPr>
        <w:t xml:space="preserve"> en la provincia de Villa Clara se plantea que el 97% de la carga de ese contaminante procede de quemar fueloil que posee un elevado porcentaje de azufre. La evaluación de la calidad del aire de las fuentes fijas evaluadas en la ciudad de Santa Clara obtuvo con categoría de "Aceptable" la torrefactora de Café, "Defiente" el matadero de Aves y el matadero empacadora Salaminas. Además plantea que con las medidas de la eficiencia energética se puede disminuir el consumo de combustible hasta un 50%; la disminución solamente de un 3% de combustible equivalen a 38 t y la reducción de 1,8 t de SO</w:t>
      </w:r>
      <w:r w:rsidRPr="00D84329">
        <w:rPr>
          <w:sz w:val="24"/>
          <w:szCs w:val="24"/>
          <w:vertAlign w:val="subscript"/>
          <w:lang w:val="es-419"/>
        </w:rPr>
        <w:t>2</w:t>
      </w:r>
      <w:r w:rsidRPr="00D84329">
        <w:rPr>
          <w:sz w:val="24"/>
          <w:szCs w:val="24"/>
          <w:lang w:val="es-419"/>
        </w:rPr>
        <w:t xml:space="preserve">. En el trabajo </w:t>
      </w:r>
      <w:r w:rsidRPr="00D84329">
        <w:rPr>
          <w:sz w:val="24"/>
          <w:szCs w:val="24"/>
        </w:rPr>
        <w:t xml:space="preserve">de </w:t>
      </w:r>
      <w:proofErr w:type="spellStart"/>
      <w:r w:rsidRPr="00D84329">
        <w:rPr>
          <w:sz w:val="24"/>
          <w:szCs w:val="24"/>
        </w:rPr>
        <w:t>Nuñez</w:t>
      </w:r>
      <w:proofErr w:type="spellEnd"/>
      <w:r w:rsidRPr="00D84329">
        <w:rPr>
          <w:sz w:val="24"/>
          <w:szCs w:val="24"/>
        </w:rPr>
        <w:t xml:space="preserve"> et al., (2018) donde se realizó un inventario de emisiones de fuentes fijas y móviles en el municipio </w:t>
      </w:r>
      <w:proofErr w:type="spellStart"/>
      <w:r w:rsidRPr="00D84329">
        <w:rPr>
          <w:sz w:val="24"/>
          <w:szCs w:val="24"/>
        </w:rPr>
        <w:t>Ranchuelo</w:t>
      </w:r>
      <w:proofErr w:type="spellEnd"/>
      <w:r w:rsidRPr="00D84329">
        <w:rPr>
          <w:sz w:val="24"/>
          <w:szCs w:val="24"/>
        </w:rPr>
        <w:t xml:space="preserve"> de Villa Clara obtuvo d</w:t>
      </w:r>
      <w:r w:rsidRPr="00D84329">
        <w:rPr>
          <w:sz w:val="24"/>
          <w:szCs w:val="24"/>
          <w:lang w:val="es-419"/>
        </w:rPr>
        <w:t>el SO</w:t>
      </w:r>
      <w:r w:rsidRPr="00D84329">
        <w:rPr>
          <w:sz w:val="24"/>
          <w:szCs w:val="24"/>
          <w:vertAlign w:val="subscript"/>
          <w:lang w:val="es-419"/>
        </w:rPr>
        <w:t>2</w:t>
      </w:r>
      <w:r w:rsidRPr="00D84329">
        <w:rPr>
          <w:sz w:val="24"/>
          <w:szCs w:val="24"/>
          <w:lang w:val="es-419"/>
        </w:rPr>
        <w:t xml:space="preserve"> se emite 14,5 t/año, el 97% del total originado por las fuentes fijas.</w:t>
      </w:r>
    </w:p>
    <w:p w:rsidR="0036460A" w:rsidRPr="00D84329" w:rsidRDefault="0036460A" w:rsidP="0036460A">
      <w:pPr>
        <w:rPr>
          <w:sz w:val="24"/>
          <w:szCs w:val="24"/>
          <w:lang w:val="es-419"/>
        </w:rPr>
      </w:pPr>
      <w:r w:rsidRPr="00D84329">
        <w:rPr>
          <w:sz w:val="24"/>
          <w:szCs w:val="24"/>
          <w:lang w:val="es-419"/>
        </w:rPr>
        <w:t>Por otra parte Garcia et al., (2013), en su estudio sobre la concentración de contaminantes SO</w:t>
      </w:r>
      <w:r w:rsidRPr="00D84329">
        <w:rPr>
          <w:sz w:val="24"/>
          <w:szCs w:val="24"/>
          <w:vertAlign w:val="subscript"/>
          <w:lang w:val="es-419"/>
        </w:rPr>
        <w:t>2</w:t>
      </w:r>
      <w:r w:rsidRPr="00D84329">
        <w:rPr>
          <w:sz w:val="24"/>
          <w:szCs w:val="24"/>
          <w:lang w:val="es-419"/>
        </w:rPr>
        <w:t xml:space="preserve"> y NO</w:t>
      </w:r>
      <w:r w:rsidRPr="00D84329">
        <w:rPr>
          <w:sz w:val="24"/>
          <w:szCs w:val="24"/>
          <w:vertAlign w:val="subscript"/>
          <w:lang w:val="es-419"/>
        </w:rPr>
        <w:t>2</w:t>
      </w:r>
      <w:r w:rsidRPr="00D84329">
        <w:rPr>
          <w:sz w:val="24"/>
          <w:szCs w:val="24"/>
          <w:lang w:val="es-419"/>
        </w:rPr>
        <w:t xml:space="preserve"> durante la temporada de lluvias en la Zona Metropolitana de Guadalajara plantea que los niveles máximos de SO</w:t>
      </w:r>
      <w:r w:rsidRPr="00D84329">
        <w:rPr>
          <w:sz w:val="24"/>
          <w:szCs w:val="24"/>
          <w:vertAlign w:val="subscript"/>
          <w:lang w:val="es-419"/>
        </w:rPr>
        <w:t>2</w:t>
      </w:r>
      <w:r w:rsidRPr="00D84329">
        <w:rPr>
          <w:sz w:val="24"/>
          <w:szCs w:val="24"/>
          <w:lang w:val="es-419"/>
        </w:rPr>
        <w:t xml:space="preserve"> y NO</w:t>
      </w:r>
      <w:r w:rsidRPr="00D84329">
        <w:rPr>
          <w:sz w:val="24"/>
          <w:szCs w:val="24"/>
          <w:vertAlign w:val="subscript"/>
          <w:lang w:val="es-419"/>
        </w:rPr>
        <w:t>2</w:t>
      </w:r>
      <w:r w:rsidRPr="00D84329">
        <w:rPr>
          <w:sz w:val="24"/>
          <w:szCs w:val="24"/>
          <w:lang w:val="es-419"/>
        </w:rPr>
        <w:t xml:space="preserve"> sucedieron en el período seco, disminuyendo en el húmedo. Los resultados del estudio mostro que el </w:t>
      </w:r>
      <w:r w:rsidRPr="00D84329">
        <w:rPr>
          <w:sz w:val="24"/>
          <w:szCs w:val="24"/>
          <w:lang w:val="es-419"/>
        </w:rPr>
        <w:lastRenderedPageBreak/>
        <w:t>NO</w:t>
      </w:r>
      <w:r w:rsidRPr="00D84329">
        <w:rPr>
          <w:sz w:val="24"/>
          <w:szCs w:val="24"/>
          <w:vertAlign w:val="subscript"/>
          <w:lang w:val="es-419"/>
        </w:rPr>
        <w:t xml:space="preserve">2 </w:t>
      </w:r>
      <w:r w:rsidRPr="00D84329">
        <w:rPr>
          <w:sz w:val="24"/>
          <w:szCs w:val="24"/>
          <w:lang w:val="es-419"/>
        </w:rPr>
        <w:t>es el componente principal de la acidez de la lluvia, mientras que el SO</w:t>
      </w:r>
      <w:r w:rsidRPr="00D84329">
        <w:rPr>
          <w:sz w:val="24"/>
          <w:szCs w:val="24"/>
          <w:vertAlign w:val="subscript"/>
          <w:lang w:val="es-419"/>
        </w:rPr>
        <w:t>2</w:t>
      </w:r>
      <w:r w:rsidRPr="00D84329">
        <w:rPr>
          <w:sz w:val="24"/>
          <w:szCs w:val="24"/>
          <w:lang w:val="es-419"/>
        </w:rPr>
        <w:t xml:space="preserve"> inﬂuye en menor magnitud.</w:t>
      </w:r>
    </w:p>
    <w:p w:rsidR="0036460A" w:rsidRPr="00D84329" w:rsidRDefault="0036460A" w:rsidP="0036460A">
      <w:pPr>
        <w:rPr>
          <w:sz w:val="24"/>
          <w:szCs w:val="24"/>
          <w:lang w:val="es-419"/>
        </w:rPr>
      </w:pPr>
    </w:p>
    <w:p w:rsidR="0036460A" w:rsidRPr="00D84329" w:rsidRDefault="0036460A" w:rsidP="0036460A">
      <w:pPr>
        <w:spacing w:line="360" w:lineRule="auto"/>
        <w:ind w:firstLine="0"/>
        <w:rPr>
          <w:sz w:val="24"/>
          <w:szCs w:val="24"/>
        </w:rPr>
      </w:pPr>
      <w:r w:rsidRPr="00D84329">
        <w:rPr>
          <w:noProof/>
          <w:sz w:val="24"/>
          <w:szCs w:val="24"/>
          <w:lang w:eastAsia="es-ES"/>
        </w:rPr>
        <w:drawing>
          <wp:inline distT="0" distB="0" distL="0" distR="0" wp14:anchorId="1B86E8BC" wp14:editId="219B41B3">
            <wp:extent cx="2705100" cy="31159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7" t="6492" r="10180" b="13991"/>
                    <a:stretch/>
                  </pic:blipFill>
                  <pic:spPr bwMode="auto">
                    <a:xfrm>
                      <a:off x="0" y="0"/>
                      <a:ext cx="2706006" cy="3116989"/>
                    </a:xfrm>
                    <a:prstGeom prst="rect">
                      <a:avLst/>
                    </a:prstGeom>
                    <a:ln>
                      <a:noFill/>
                    </a:ln>
                    <a:extLst>
                      <a:ext uri="{53640926-AAD7-44D8-BBD7-CCE9431645EC}">
                        <a14:shadowObscured xmlns:a14="http://schemas.microsoft.com/office/drawing/2010/main"/>
                      </a:ext>
                    </a:extLst>
                  </pic:spPr>
                </pic:pic>
              </a:graphicData>
            </a:graphic>
          </wp:inline>
        </w:drawing>
      </w:r>
      <w:r w:rsidRPr="00D84329">
        <w:rPr>
          <w:noProof/>
          <w:sz w:val="24"/>
          <w:szCs w:val="24"/>
          <w:lang w:eastAsia="es-ES"/>
        </w:rPr>
        <w:drawing>
          <wp:inline distT="0" distB="0" distL="0" distR="0" wp14:anchorId="5C343BDA" wp14:editId="5AE91381">
            <wp:extent cx="2647950" cy="3095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1" t="6074" r="10219" b="14952"/>
                    <a:stretch/>
                  </pic:blipFill>
                  <pic:spPr bwMode="auto">
                    <a:xfrm>
                      <a:off x="0" y="0"/>
                      <a:ext cx="2647950" cy="3095625"/>
                    </a:xfrm>
                    <a:prstGeom prst="rect">
                      <a:avLst/>
                    </a:prstGeom>
                    <a:ln>
                      <a:noFill/>
                    </a:ln>
                    <a:extLst>
                      <a:ext uri="{53640926-AAD7-44D8-BBD7-CCE9431645EC}">
                        <a14:shadowObscured xmlns:a14="http://schemas.microsoft.com/office/drawing/2010/main"/>
                      </a:ext>
                    </a:extLst>
                  </pic:spPr>
                </pic:pic>
              </a:graphicData>
            </a:graphic>
          </wp:inline>
        </w:drawing>
      </w:r>
    </w:p>
    <w:p w:rsidR="0036460A" w:rsidRPr="00D84329" w:rsidRDefault="0036460A" w:rsidP="0036460A">
      <w:pPr>
        <w:spacing w:line="360" w:lineRule="auto"/>
        <w:jc w:val="center"/>
        <w:rPr>
          <w:sz w:val="24"/>
          <w:szCs w:val="24"/>
        </w:rPr>
      </w:pPr>
      <w:r w:rsidRPr="00D84329">
        <w:rPr>
          <w:b/>
          <w:sz w:val="24"/>
          <w:szCs w:val="24"/>
        </w:rPr>
        <w:t>Figura 5.</w:t>
      </w:r>
      <w:r w:rsidRPr="00D84329">
        <w:rPr>
          <w:sz w:val="24"/>
          <w:szCs w:val="24"/>
        </w:rPr>
        <w:t xml:space="preserve"> Concentración de dióxido de azufre (mol/m2) mensual y anual en la ciudad de Santa Clara. </w:t>
      </w:r>
    </w:p>
    <w:p w:rsidR="0036460A" w:rsidRPr="00D84329" w:rsidRDefault="0036460A" w:rsidP="0036460A">
      <w:pPr>
        <w:spacing w:line="360" w:lineRule="auto"/>
        <w:rPr>
          <w:sz w:val="24"/>
          <w:szCs w:val="24"/>
        </w:rPr>
      </w:pPr>
    </w:p>
    <w:p w:rsidR="0036460A" w:rsidRPr="00D84329" w:rsidRDefault="0036460A" w:rsidP="0036460A">
      <w:pPr>
        <w:spacing w:line="360" w:lineRule="auto"/>
        <w:ind w:firstLine="0"/>
        <w:jc w:val="center"/>
        <w:rPr>
          <w:sz w:val="24"/>
          <w:szCs w:val="24"/>
        </w:rPr>
      </w:pPr>
      <w:r w:rsidRPr="00D84329">
        <w:rPr>
          <w:noProof/>
          <w:sz w:val="24"/>
          <w:szCs w:val="24"/>
          <w:lang w:eastAsia="es-ES"/>
        </w:rPr>
        <w:drawing>
          <wp:inline distT="0" distB="0" distL="0" distR="0" wp14:anchorId="3A9E18A0" wp14:editId="5E238704">
            <wp:extent cx="5400040" cy="26365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030" b="4181"/>
                    <a:stretch/>
                  </pic:blipFill>
                  <pic:spPr bwMode="auto">
                    <a:xfrm>
                      <a:off x="0" y="0"/>
                      <a:ext cx="5400040" cy="2636520"/>
                    </a:xfrm>
                    <a:prstGeom prst="rect">
                      <a:avLst/>
                    </a:prstGeom>
                    <a:ln>
                      <a:noFill/>
                    </a:ln>
                    <a:extLst>
                      <a:ext uri="{53640926-AAD7-44D8-BBD7-CCE9431645EC}">
                        <a14:shadowObscured xmlns:a14="http://schemas.microsoft.com/office/drawing/2010/main"/>
                      </a:ext>
                    </a:extLst>
                  </pic:spPr>
                </pic:pic>
              </a:graphicData>
            </a:graphic>
          </wp:inline>
        </w:drawing>
      </w:r>
    </w:p>
    <w:p w:rsidR="0036460A" w:rsidRPr="00D84329" w:rsidRDefault="0036460A" w:rsidP="0036460A">
      <w:pPr>
        <w:spacing w:line="360" w:lineRule="auto"/>
        <w:jc w:val="center"/>
        <w:rPr>
          <w:sz w:val="24"/>
          <w:szCs w:val="24"/>
        </w:rPr>
      </w:pPr>
      <w:r w:rsidRPr="00D84329">
        <w:rPr>
          <w:b/>
          <w:sz w:val="24"/>
          <w:szCs w:val="24"/>
        </w:rPr>
        <w:t>Figura 6</w:t>
      </w:r>
      <w:r w:rsidRPr="00D84329">
        <w:rPr>
          <w:sz w:val="24"/>
          <w:szCs w:val="24"/>
        </w:rPr>
        <w:t>. Distribución espacial de la concentración de dióxido de azufre en la provincia de Villa Clara.</w:t>
      </w:r>
    </w:p>
    <w:p w:rsidR="0036460A" w:rsidRPr="00D84329" w:rsidRDefault="0036460A" w:rsidP="0036460A">
      <w:pPr>
        <w:jc w:val="center"/>
        <w:rPr>
          <w:sz w:val="24"/>
          <w:szCs w:val="24"/>
        </w:rPr>
      </w:pPr>
    </w:p>
    <w:p w:rsidR="0036460A" w:rsidRPr="00D84329" w:rsidRDefault="0036460A" w:rsidP="0036460A">
      <w:pPr>
        <w:rPr>
          <w:sz w:val="24"/>
          <w:szCs w:val="24"/>
          <w:lang w:val="es-419"/>
        </w:rPr>
      </w:pPr>
      <w:r w:rsidRPr="00D84329">
        <w:rPr>
          <w:sz w:val="24"/>
          <w:szCs w:val="24"/>
          <w:lang w:val="es-419"/>
        </w:rPr>
        <w:t xml:space="preserve">Entre los contaminantes evaluados el ozono presenta una distribución de la concentración en valores medios, mientras que para el monóxido de carbono y el dióxido de azufre presenta distribución en bajas concentraciones. Estos resultados pudieran estar relacionados y corresponder con los resultados alcanzados por Cuesta </w:t>
      </w:r>
      <w:r w:rsidRPr="00D84329">
        <w:rPr>
          <w:sz w:val="24"/>
          <w:szCs w:val="24"/>
          <w:lang w:val="es-419"/>
        </w:rPr>
        <w:lastRenderedPageBreak/>
        <w:t>at al., (2010) donde la ciudad de Santa Clara resultó con categoría de deficiente. No obstante para ello deben calcularse los indicadores de calidad del aire y realizar la evaluación cualitativa.</w:t>
      </w:r>
    </w:p>
    <w:p w:rsidR="0036460A" w:rsidRPr="00D84329" w:rsidRDefault="0036460A" w:rsidP="0036460A">
      <w:pPr>
        <w:rPr>
          <w:sz w:val="24"/>
          <w:szCs w:val="24"/>
          <w:lang w:val="es-419"/>
        </w:rPr>
      </w:pPr>
    </w:p>
    <w:p w:rsidR="0036460A" w:rsidRPr="00D84329" w:rsidRDefault="0036460A" w:rsidP="0036460A">
      <w:pPr>
        <w:pStyle w:val="Ttulo2"/>
        <w:ind w:firstLine="0"/>
        <w:jc w:val="left"/>
        <w:rPr>
          <w:b/>
          <w:sz w:val="24"/>
          <w:szCs w:val="24"/>
          <w:lang w:val="es-ES"/>
        </w:rPr>
      </w:pPr>
      <w:r w:rsidRPr="00D84329">
        <w:rPr>
          <w:b/>
          <w:sz w:val="24"/>
          <w:szCs w:val="24"/>
          <w:lang w:val="es-ES"/>
        </w:rPr>
        <w:t>4</w:t>
      </w:r>
      <w:r w:rsidR="005D0900" w:rsidRPr="00D84329">
        <w:rPr>
          <w:b/>
          <w:sz w:val="24"/>
          <w:szCs w:val="24"/>
          <w:lang w:val="es-ES"/>
        </w:rPr>
        <w:t>. Conclusiones</w:t>
      </w:r>
    </w:p>
    <w:p w:rsidR="0036460A" w:rsidRPr="00D84329" w:rsidRDefault="0036460A" w:rsidP="0036460A">
      <w:pPr>
        <w:pStyle w:val="Ttulo2"/>
        <w:jc w:val="left"/>
        <w:rPr>
          <w:sz w:val="24"/>
          <w:szCs w:val="24"/>
          <w:lang w:val="es-ES"/>
        </w:rPr>
      </w:pPr>
    </w:p>
    <w:p w:rsidR="0036460A" w:rsidRPr="00D84329" w:rsidRDefault="0036460A" w:rsidP="0036460A">
      <w:pPr>
        <w:rPr>
          <w:sz w:val="24"/>
          <w:szCs w:val="24"/>
        </w:rPr>
      </w:pPr>
      <w:r w:rsidRPr="00D84329">
        <w:rPr>
          <w:sz w:val="24"/>
          <w:szCs w:val="24"/>
        </w:rPr>
        <w:t>Mediante el uso de tecnologías avanzadas (TROPOMI) pudo evaluarse las concentraciones de varios contaminantes atmosféricos para la ciudad de Santa Clara.</w:t>
      </w:r>
    </w:p>
    <w:p w:rsidR="0036460A" w:rsidRPr="00D84329" w:rsidRDefault="0036460A" w:rsidP="0036460A">
      <w:pPr>
        <w:rPr>
          <w:sz w:val="24"/>
          <w:szCs w:val="24"/>
        </w:rPr>
      </w:pPr>
      <w:r w:rsidRPr="00D84329">
        <w:rPr>
          <w:sz w:val="24"/>
          <w:szCs w:val="24"/>
        </w:rPr>
        <w:t>Se obtuvo concentraciones anuales de 0.028032886 mol/m</w:t>
      </w:r>
      <w:r w:rsidRPr="00D84329">
        <w:rPr>
          <w:sz w:val="24"/>
          <w:szCs w:val="24"/>
          <w:vertAlign w:val="superscript"/>
        </w:rPr>
        <w:t>2</w:t>
      </w:r>
      <w:r w:rsidRPr="00D84329">
        <w:rPr>
          <w:sz w:val="24"/>
          <w:szCs w:val="24"/>
        </w:rPr>
        <w:t xml:space="preserve"> de monóxido de carbono, 0.121398365 mol/m</w:t>
      </w:r>
      <w:r w:rsidRPr="00D84329">
        <w:rPr>
          <w:sz w:val="24"/>
          <w:szCs w:val="24"/>
          <w:vertAlign w:val="superscript"/>
        </w:rPr>
        <w:t xml:space="preserve">2 </w:t>
      </w:r>
      <w:r w:rsidRPr="00D84329">
        <w:rPr>
          <w:sz w:val="24"/>
          <w:szCs w:val="24"/>
        </w:rPr>
        <w:t>de ozono y 1.39641E-07 mol/m</w:t>
      </w:r>
      <w:r w:rsidRPr="00D84329">
        <w:rPr>
          <w:sz w:val="24"/>
          <w:szCs w:val="24"/>
          <w:vertAlign w:val="superscript"/>
        </w:rPr>
        <w:t>2</w:t>
      </w:r>
      <w:r w:rsidRPr="00D84329">
        <w:rPr>
          <w:sz w:val="24"/>
          <w:szCs w:val="24"/>
        </w:rPr>
        <w:t xml:space="preserve"> de dióxido de azufre. Las concentraciones de monóxido de carbono y dióxido de azufre se representan valores bajos mientras que la concentración de ozono esta en valores medios.</w:t>
      </w:r>
    </w:p>
    <w:p w:rsidR="0036460A" w:rsidRPr="00D84329" w:rsidRDefault="0036460A" w:rsidP="0036460A">
      <w:pPr>
        <w:rPr>
          <w:sz w:val="24"/>
          <w:szCs w:val="24"/>
        </w:rPr>
      </w:pPr>
      <w:r w:rsidRPr="00D84329">
        <w:rPr>
          <w:sz w:val="24"/>
          <w:szCs w:val="24"/>
        </w:rPr>
        <w:t xml:space="preserve"> Con este trabajo se logra aportar datos al inventario de contaminación atmosférica para el fortalecimiento de la gestión integral de la calidad del aire y apoyar las políticas enfocadas en reducir emisiones.</w:t>
      </w:r>
    </w:p>
    <w:p w:rsidR="0036460A" w:rsidRPr="00D84329" w:rsidRDefault="0036460A" w:rsidP="0036460A">
      <w:pPr>
        <w:pStyle w:val="Ttulo2"/>
        <w:jc w:val="left"/>
        <w:rPr>
          <w:b/>
          <w:sz w:val="24"/>
          <w:szCs w:val="24"/>
          <w:lang w:val="es-ES"/>
        </w:rPr>
      </w:pPr>
    </w:p>
    <w:p w:rsidR="0036460A" w:rsidRPr="00D84329" w:rsidRDefault="0036460A" w:rsidP="0036460A">
      <w:pPr>
        <w:pStyle w:val="Ttulo2"/>
        <w:ind w:firstLine="0"/>
        <w:jc w:val="left"/>
        <w:rPr>
          <w:b/>
          <w:sz w:val="24"/>
          <w:szCs w:val="24"/>
          <w:lang w:val="es-ES"/>
        </w:rPr>
      </w:pPr>
      <w:r w:rsidRPr="00D84329">
        <w:rPr>
          <w:b/>
          <w:sz w:val="24"/>
          <w:szCs w:val="24"/>
          <w:lang w:val="es-ES"/>
        </w:rPr>
        <w:t>Bibliografía</w:t>
      </w:r>
    </w:p>
    <w:p w:rsidR="0036460A" w:rsidRPr="00D84329" w:rsidRDefault="0036460A" w:rsidP="0036460A">
      <w:pPr>
        <w:rPr>
          <w:rStyle w:val="apple-style-span"/>
          <w:sz w:val="24"/>
          <w:szCs w:val="24"/>
          <w:lang w:val="es-EC"/>
        </w:rPr>
      </w:pP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Alfaro-Alfaro D., Salas-</w:t>
      </w:r>
      <w:proofErr w:type="spellStart"/>
      <w:r w:rsidRPr="00D84329">
        <w:rPr>
          <w:rFonts w:ascii="Arial" w:hAnsi="Arial" w:cs="Arial"/>
          <w:sz w:val="24"/>
          <w:szCs w:val="24"/>
          <w:lang w:val="es-ES"/>
        </w:rPr>
        <w:t>Morelli</w:t>
      </w:r>
      <w:proofErr w:type="spellEnd"/>
      <w:r w:rsidRPr="00D84329">
        <w:rPr>
          <w:rFonts w:ascii="Arial" w:hAnsi="Arial" w:cs="Arial"/>
          <w:sz w:val="24"/>
          <w:szCs w:val="24"/>
          <w:lang w:val="es-ES"/>
        </w:rPr>
        <w:t xml:space="preserve"> L., Sánchez-Mejías B., Mora-Barrantes J., </w:t>
      </w:r>
      <w:proofErr w:type="spellStart"/>
      <w:r w:rsidRPr="00D84329">
        <w:rPr>
          <w:rFonts w:ascii="Arial" w:hAnsi="Arial" w:cs="Arial"/>
          <w:sz w:val="24"/>
          <w:szCs w:val="24"/>
          <w:lang w:val="es-ES"/>
        </w:rPr>
        <w:t>Sibaja</w:t>
      </w:r>
      <w:proofErr w:type="spellEnd"/>
      <w:r w:rsidRPr="00D84329">
        <w:rPr>
          <w:rFonts w:ascii="Arial" w:hAnsi="Arial" w:cs="Arial"/>
          <w:sz w:val="24"/>
          <w:szCs w:val="24"/>
          <w:lang w:val="es-ES"/>
        </w:rPr>
        <w:t>-Brenes J. P., Borbón-</w:t>
      </w:r>
      <w:proofErr w:type="spellStart"/>
      <w:r w:rsidRPr="00D84329">
        <w:rPr>
          <w:rFonts w:ascii="Arial" w:hAnsi="Arial" w:cs="Arial"/>
          <w:sz w:val="24"/>
          <w:szCs w:val="24"/>
          <w:lang w:val="es-ES"/>
        </w:rPr>
        <w:t>Alpízar</w:t>
      </w:r>
      <w:proofErr w:type="spellEnd"/>
      <w:r w:rsidRPr="00D84329">
        <w:rPr>
          <w:rFonts w:ascii="Arial" w:hAnsi="Arial" w:cs="Arial"/>
          <w:sz w:val="24"/>
          <w:szCs w:val="24"/>
          <w:lang w:val="es-ES"/>
        </w:rPr>
        <w:t xml:space="preserve"> H. (2021). </w:t>
      </w:r>
      <w:r w:rsidRPr="00D84329">
        <w:rPr>
          <w:rFonts w:ascii="Arial" w:hAnsi="Arial" w:cs="Arial"/>
          <w:sz w:val="24"/>
          <w:szCs w:val="24"/>
        </w:rPr>
        <w:t xml:space="preserve">Preliminary inventory of atmospheric emissions (SO2, </w:t>
      </w:r>
      <w:proofErr w:type="spellStart"/>
      <w:r w:rsidRPr="00D84329">
        <w:rPr>
          <w:rFonts w:ascii="Arial" w:hAnsi="Arial" w:cs="Arial"/>
          <w:sz w:val="24"/>
          <w:szCs w:val="24"/>
        </w:rPr>
        <w:t>NOx</w:t>
      </w:r>
      <w:proofErr w:type="spellEnd"/>
      <w:r w:rsidRPr="00D84329">
        <w:rPr>
          <w:rFonts w:ascii="Arial" w:hAnsi="Arial" w:cs="Arial"/>
          <w:sz w:val="24"/>
          <w:szCs w:val="24"/>
        </w:rPr>
        <w:t xml:space="preserve"> and TSP) from different industrial sectors in Costa Rica. </w:t>
      </w:r>
      <w:proofErr w:type="spellStart"/>
      <w:r w:rsidRPr="00D84329">
        <w:rPr>
          <w:rFonts w:ascii="Arial" w:hAnsi="Arial" w:cs="Arial"/>
          <w:i/>
          <w:sz w:val="24"/>
          <w:szCs w:val="24"/>
        </w:rPr>
        <w:t>Uniciencia</w:t>
      </w:r>
      <w:proofErr w:type="spellEnd"/>
      <w:r w:rsidRPr="00D84329">
        <w:rPr>
          <w:rFonts w:ascii="Arial" w:hAnsi="Arial" w:cs="Arial"/>
          <w:sz w:val="24"/>
          <w:szCs w:val="24"/>
        </w:rPr>
        <w:t xml:space="preserve"> Vol. 35(2), pp. 1-13, July-December. DOI: http://dx.doi.org/10.15359/ru.35-2.5. </w:t>
      </w:r>
      <w:r w:rsidRPr="00D84329">
        <w:rPr>
          <w:rFonts w:ascii="Arial" w:hAnsi="Arial" w:cs="Arial"/>
          <w:sz w:val="24"/>
          <w:szCs w:val="24"/>
          <w:lang w:val="es-ES"/>
        </w:rPr>
        <w:t>E-ISSN: 2215-3470.</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Arboleda Guerrero, A. S. &amp; Vásquez Taco, J. (2021). Evaluación de datos satelitales del sensor de calidad de aire TROPOMI - </w:t>
      </w:r>
      <w:proofErr w:type="spellStart"/>
      <w:r w:rsidRPr="00D84329">
        <w:rPr>
          <w:rFonts w:ascii="Arial" w:hAnsi="Arial" w:cs="Arial"/>
          <w:sz w:val="24"/>
          <w:szCs w:val="24"/>
          <w:lang w:val="es-ES"/>
        </w:rPr>
        <w:t>sentinel</w:t>
      </w:r>
      <w:proofErr w:type="spellEnd"/>
      <w:r w:rsidRPr="00D84329">
        <w:rPr>
          <w:rFonts w:ascii="Arial" w:hAnsi="Arial" w:cs="Arial"/>
          <w:sz w:val="24"/>
          <w:szCs w:val="24"/>
          <w:lang w:val="es-ES"/>
        </w:rPr>
        <w:t xml:space="preserve"> 5p para el Ecuador entre los años 2018 a 2020. [Tesis de grado. Universidad Politécnica Salesiana Sede Quito]</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Cuesta, O., </w:t>
      </w:r>
      <w:proofErr w:type="spellStart"/>
      <w:r w:rsidRPr="00D84329">
        <w:rPr>
          <w:rFonts w:ascii="Arial" w:hAnsi="Arial" w:cs="Arial"/>
          <w:sz w:val="24"/>
          <w:szCs w:val="24"/>
          <w:lang w:val="es-ES"/>
        </w:rPr>
        <w:t>Wallo</w:t>
      </w:r>
      <w:proofErr w:type="spellEnd"/>
      <w:r w:rsidRPr="00D84329">
        <w:rPr>
          <w:rFonts w:ascii="Arial" w:hAnsi="Arial" w:cs="Arial"/>
          <w:sz w:val="24"/>
          <w:szCs w:val="24"/>
          <w:lang w:val="es-ES"/>
        </w:rPr>
        <w:t xml:space="preserve">, A, Montes de Oca, L., </w:t>
      </w:r>
      <w:proofErr w:type="spellStart"/>
      <w:r w:rsidRPr="00D84329">
        <w:rPr>
          <w:rFonts w:ascii="Arial" w:hAnsi="Arial" w:cs="Arial"/>
          <w:sz w:val="24"/>
          <w:szCs w:val="24"/>
          <w:lang w:val="es-ES"/>
        </w:rPr>
        <w:t>Pierra</w:t>
      </w:r>
      <w:proofErr w:type="spellEnd"/>
      <w:r w:rsidRPr="00D84329">
        <w:rPr>
          <w:rFonts w:ascii="Arial" w:hAnsi="Arial" w:cs="Arial"/>
          <w:sz w:val="24"/>
          <w:szCs w:val="24"/>
          <w:lang w:val="es-ES"/>
        </w:rPr>
        <w:t xml:space="preserve">, A., </w:t>
      </w:r>
      <w:proofErr w:type="spellStart"/>
      <w:r w:rsidRPr="00D84329">
        <w:rPr>
          <w:rFonts w:ascii="Arial" w:hAnsi="Arial" w:cs="Arial"/>
          <w:sz w:val="24"/>
          <w:szCs w:val="24"/>
          <w:lang w:val="es-ES"/>
        </w:rPr>
        <w:t>Tricio</w:t>
      </w:r>
      <w:proofErr w:type="spellEnd"/>
      <w:r w:rsidRPr="00D84329">
        <w:rPr>
          <w:rFonts w:ascii="Arial" w:hAnsi="Arial" w:cs="Arial"/>
          <w:sz w:val="24"/>
          <w:szCs w:val="24"/>
          <w:lang w:val="es-ES"/>
        </w:rPr>
        <w:t>, V. (2010): Calidad del aire en zonas urbanas de cuba. CONAMA 11. [Congreso de Medio Ambiente, España.] http://www.conama10.es/web/index.php</w:t>
      </w:r>
    </w:p>
    <w:p w:rsidR="0036460A" w:rsidRPr="00D84329" w:rsidRDefault="0036460A" w:rsidP="0036460A">
      <w:pPr>
        <w:pStyle w:val="Text"/>
        <w:ind w:left="567" w:hanging="567"/>
        <w:rPr>
          <w:rFonts w:ascii="Arial" w:hAnsi="Arial" w:cs="Arial"/>
          <w:sz w:val="24"/>
          <w:szCs w:val="24"/>
          <w:lang w:val="es-ES"/>
        </w:rPr>
      </w:pP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Cuesta-Santos, O., González-Jaime, Y., Sosa-Pérez, C., López-Lee, R., </w:t>
      </w:r>
      <w:proofErr w:type="spellStart"/>
      <w:r w:rsidRPr="00D84329">
        <w:rPr>
          <w:rFonts w:ascii="Arial" w:hAnsi="Arial" w:cs="Arial"/>
          <w:sz w:val="24"/>
          <w:szCs w:val="24"/>
          <w:lang w:val="es-ES"/>
        </w:rPr>
        <w:t>Bolufé</w:t>
      </w:r>
      <w:proofErr w:type="spellEnd"/>
      <w:r w:rsidRPr="00D84329">
        <w:rPr>
          <w:rFonts w:ascii="Arial" w:hAnsi="Arial" w:cs="Arial"/>
          <w:sz w:val="24"/>
          <w:szCs w:val="24"/>
          <w:lang w:val="es-ES"/>
        </w:rPr>
        <w:t xml:space="preserve">-Torres, J., Reyes-Hernández, F. (2019). La calidad del aire en La Habana. Actualidad. </w:t>
      </w:r>
      <w:r w:rsidRPr="00D84329">
        <w:rPr>
          <w:rFonts w:ascii="Arial" w:hAnsi="Arial" w:cs="Arial"/>
          <w:i/>
          <w:sz w:val="24"/>
          <w:szCs w:val="24"/>
          <w:lang w:val="es-ES"/>
        </w:rPr>
        <w:t xml:space="preserve">Revista </w:t>
      </w:r>
      <w:proofErr w:type="gramStart"/>
      <w:r w:rsidRPr="00D84329">
        <w:rPr>
          <w:rFonts w:ascii="Arial" w:hAnsi="Arial" w:cs="Arial"/>
          <w:i/>
          <w:sz w:val="24"/>
          <w:szCs w:val="24"/>
          <w:lang w:val="es-ES"/>
        </w:rPr>
        <w:t>Cubana</w:t>
      </w:r>
      <w:proofErr w:type="gramEnd"/>
      <w:r w:rsidRPr="00D84329">
        <w:rPr>
          <w:rFonts w:ascii="Arial" w:hAnsi="Arial" w:cs="Arial"/>
          <w:i/>
          <w:sz w:val="24"/>
          <w:szCs w:val="24"/>
          <w:lang w:val="es-ES"/>
        </w:rPr>
        <w:t xml:space="preserve"> de Meteorología</w:t>
      </w:r>
      <w:r w:rsidRPr="00D84329">
        <w:rPr>
          <w:rFonts w:ascii="Arial" w:hAnsi="Arial" w:cs="Arial"/>
          <w:sz w:val="24"/>
          <w:szCs w:val="24"/>
          <w:lang w:val="es-ES"/>
        </w:rPr>
        <w:t>, Vol. 25, No. 3, septiembre-diciembre, ISSN: 2664-0880.</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Erazo Camacho, M. R. (2022). Consumo de energía no renovable y emisión de CO</w:t>
      </w:r>
      <w:r w:rsidRPr="00D84329">
        <w:rPr>
          <w:rFonts w:ascii="Arial" w:hAnsi="Arial" w:cs="Arial"/>
          <w:sz w:val="24"/>
          <w:szCs w:val="24"/>
          <w:vertAlign w:val="subscript"/>
          <w:lang w:val="es-ES"/>
        </w:rPr>
        <w:t xml:space="preserve">2 </w:t>
      </w:r>
      <w:r w:rsidRPr="00D84329">
        <w:rPr>
          <w:rFonts w:ascii="Arial" w:hAnsi="Arial" w:cs="Arial"/>
          <w:sz w:val="24"/>
          <w:szCs w:val="24"/>
          <w:lang w:val="es-ES"/>
        </w:rPr>
        <w:t xml:space="preserve">en un país en vías de desarrollo. </w:t>
      </w:r>
      <w:r w:rsidRPr="00D84329">
        <w:rPr>
          <w:rFonts w:ascii="Arial" w:hAnsi="Arial" w:cs="Arial"/>
          <w:i/>
          <w:sz w:val="24"/>
          <w:szCs w:val="24"/>
          <w:lang w:val="es-ES"/>
        </w:rPr>
        <w:t>Revista Universidad y Sociedad</w:t>
      </w:r>
      <w:r w:rsidRPr="00D84329">
        <w:rPr>
          <w:rFonts w:ascii="Arial" w:hAnsi="Arial" w:cs="Arial"/>
          <w:sz w:val="24"/>
          <w:szCs w:val="24"/>
          <w:lang w:val="es-ES"/>
        </w:rPr>
        <w:t>, 14(S1), 110-115.</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Forero Castro, D. D. (2019). Metodología para la incorporación de datos del sensor TROPOMI del satélite </w:t>
      </w:r>
      <w:proofErr w:type="spellStart"/>
      <w:r w:rsidRPr="00D84329">
        <w:rPr>
          <w:rFonts w:ascii="Arial" w:hAnsi="Arial" w:cs="Arial"/>
          <w:sz w:val="24"/>
          <w:szCs w:val="24"/>
          <w:lang w:val="es-ES"/>
        </w:rPr>
        <w:t>sentinel</w:t>
      </w:r>
      <w:proofErr w:type="spellEnd"/>
      <w:r w:rsidRPr="00D84329">
        <w:rPr>
          <w:rFonts w:ascii="Arial" w:hAnsi="Arial" w:cs="Arial"/>
          <w:sz w:val="24"/>
          <w:szCs w:val="24"/>
          <w:lang w:val="es-ES"/>
        </w:rPr>
        <w:t xml:space="preserve"> 5-p al monitoreo de la calidad del aire en Bogotá. [Tesis de grado. Universidad Distrital Francisco </w:t>
      </w:r>
      <w:proofErr w:type="spellStart"/>
      <w:r w:rsidRPr="00D84329">
        <w:rPr>
          <w:rFonts w:ascii="Arial" w:hAnsi="Arial" w:cs="Arial"/>
          <w:sz w:val="24"/>
          <w:szCs w:val="24"/>
          <w:lang w:val="es-ES"/>
        </w:rPr>
        <w:t>Jóse</w:t>
      </w:r>
      <w:proofErr w:type="spellEnd"/>
      <w:r w:rsidRPr="00D84329">
        <w:rPr>
          <w:rFonts w:ascii="Arial" w:hAnsi="Arial" w:cs="Arial"/>
          <w:sz w:val="24"/>
          <w:szCs w:val="24"/>
          <w:lang w:val="es-ES"/>
        </w:rPr>
        <w:t xml:space="preserve"> de Caldas. Facultad de Ciencias y Educación, Licenciatura en Física Bogotá, Colombia]</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García M., Ramírez H., Ulloa H., García O., </w:t>
      </w:r>
      <w:proofErr w:type="spellStart"/>
      <w:r w:rsidRPr="00D84329">
        <w:rPr>
          <w:rFonts w:ascii="Arial" w:hAnsi="Arial" w:cs="Arial"/>
          <w:sz w:val="24"/>
          <w:szCs w:val="24"/>
          <w:lang w:val="es-ES"/>
        </w:rPr>
        <w:t>Meulenert</w:t>
      </w:r>
      <w:proofErr w:type="spellEnd"/>
      <w:r w:rsidRPr="00D84329">
        <w:rPr>
          <w:rFonts w:ascii="Arial" w:hAnsi="Arial" w:cs="Arial"/>
          <w:sz w:val="24"/>
          <w:szCs w:val="24"/>
          <w:lang w:val="es-ES"/>
        </w:rPr>
        <w:t xml:space="preserve"> Á. y Alcalá J. (2013). Concentración de contaminantes SO2, NO2 y correlación con H+, SO4-2 y NO3– durante la temporada de lluvias en la Zona Metropolitana de Guadalajara, Jalisco, México . </w:t>
      </w:r>
      <w:proofErr w:type="spellStart"/>
      <w:r w:rsidRPr="00D84329">
        <w:rPr>
          <w:rFonts w:ascii="Arial" w:hAnsi="Arial" w:cs="Arial"/>
          <w:i/>
          <w:sz w:val="24"/>
          <w:szCs w:val="24"/>
          <w:lang w:val="es-ES"/>
        </w:rPr>
        <w:t>Rev</w:t>
      </w:r>
      <w:proofErr w:type="spellEnd"/>
      <w:r w:rsidRPr="00D84329">
        <w:rPr>
          <w:rFonts w:ascii="Arial" w:hAnsi="Arial" w:cs="Arial"/>
          <w:i/>
          <w:sz w:val="24"/>
          <w:szCs w:val="24"/>
          <w:lang w:val="es-ES"/>
        </w:rPr>
        <w:t xml:space="preserve"> </w:t>
      </w:r>
      <w:proofErr w:type="spellStart"/>
      <w:r w:rsidRPr="00D84329">
        <w:rPr>
          <w:rFonts w:ascii="Arial" w:hAnsi="Arial" w:cs="Arial"/>
          <w:i/>
          <w:sz w:val="24"/>
          <w:szCs w:val="24"/>
          <w:lang w:val="es-ES"/>
        </w:rPr>
        <w:t>Chil</w:t>
      </w:r>
      <w:proofErr w:type="spellEnd"/>
      <w:r w:rsidRPr="00D84329">
        <w:rPr>
          <w:rFonts w:ascii="Arial" w:hAnsi="Arial" w:cs="Arial"/>
          <w:i/>
          <w:sz w:val="24"/>
          <w:szCs w:val="24"/>
          <w:lang w:val="es-ES"/>
        </w:rPr>
        <w:t xml:space="preserve"> </w:t>
      </w:r>
      <w:proofErr w:type="spellStart"/>
      <w:r w:rsidRPr="00D84329">
        <w:rPr>
          <w:rFonts w:ascii="Arial" w:hAnsi="Arial" w:cs="Arial"/>
          <w:i/>
          <w:sz w:val="24"/>
          <w:szCs w:val="24"/>
          <w:lang w:val="es-ES"/>
        </w:rPr>
        <w:t>Enf</w:t>
      </w:r>
      <w:proofErr w:type="spellEnd"/>
      <w:r w:rsidRPr="00D84329">
        <w:rPr>
          <w:rFonts w:ascii="Arial" w:hAnsi="Arial" w:cs="Arial"/>
          <w:i/>
          <w:sz w:val="24"/>
          <w:szCs w:val="24"/>
          <w:lang w:val="es-ES"/>
        </w:rPr>
        <w:t xml:space="preserve"> </w:t>
      </w:r>
      <w:proofErr w:type="spellStart"/>
      <w:r w:rsidRPr="00D84329">
        <w:rPr>
          <w:rFonts w:ascii="Arial" w:hAnsi="Arial" w:cs="Arial"/>
          <w:i/>
          <w:sz w:val="24"/>
          <w:szCs w:val="24"/>
          <w:lang w:val="es-ES"/>
        </w:rPr>
        <w:t>Respir</w:t>
      </w:r>
      <w:proofErr w:type="spellEnd"/>
      <w:r w:rsidRPr="00D84329">
        <w:rPr>
          <w:rFonts w:ascii="Arial" w:hAnsi="Arial" w:cs="Arial"/>
          <w:sz w:val="24"/>
          <w:szCs w:val="24"/>
          <w:lang w:val="es-ES"/>
        </w:rPr>
        <w:t>; 29: 81-88.</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Guadarrama </w:t>
      </w:r>
      <w:proofErr w:type="spellStart"/>
      <w:r w:rsidRPr="00D84329">
        <w:rPr>
          <w:rFonts w:ascii="Arial" w:hAnsi="Arial" w:cs="Arial"/>
          <w:sz w:val="24"/>
          <w:szCs w:val="24"/>
          <w:lang w:val="es-ES"/>
        </w:rPr>
        <w:t>Guadarrama</w:t>
      </w:r>
      <w:proofErr w:type="spellEnd"/>
      <w:r w:rsidRPr="00D84329">
        <w:rPr>
          <w:rFonts w:ascii="Arial" w:hAnsi="Arial" w:cs="Arial"/>
          <w:sz w:val="24"/>
          <w:szCs w:val="24"/>
          <w:lang w:val="es-ES"/>
        </w:rPr>
        <w:t xml:space="preserve">, M.A. (2015). Unidad de aprendizaje tecnologías limpia. Programa educativo: ingeniero agrónomo en floricultura. Facultad de Ciencias </w:t>
      </w:r>
      <w:r w:rsidRPr="00D84329">
        <w:rPr>
          <w:rFonts w:ascii="Arial" w:hAnsi="Arial" w:cs="Arial"/>
          <w:sz w:val="24"/>
          <w:szCs w:val="24"/>
          <w:lang w:val="es-ES"/>
        </w:rPr>
        <w:lastRenderedPageBreak/>
        <w:t>Agrícolas. Universidad Autónoma del Estado de México.</w:t>
      </w:r>
    </w:p>
    <w:p w:rsidR="0036460A" w:rsidRPr="00D84329" w:rsidRDefault="0036460A" w:rsidP="0036460A">
      <w:pPr>
        <w:pStyle w:val="Text"/>
        <w:ind w:left="567" w:hanging="567"/>
        <w:rPr>
          <w:rFonts w:ascii="Arial" w:hAnsi="Arial" w:cs="Arial"/>
          <w:sz w:val="24"/>
          <w:szCs w:val="24"/>
        </w:rPr>
      </w:pPr>
      <w:proofErr w:type="spellStart"/>
      <w:r w:rsidRPr="00D84329">
        <w:rPr>
          <w:rFonts w:ascii="Arial" w:hAnsi="Arial" w:cs="Arial"/>
          <w:sz w:val="24"/>
          <w:szCs w:val="24"/>
          <w:lang w:val="es-ES"/>
        </w:rPr>
        <w:t>Guanter</w:t>
      </w:r>
      <w:proofErr w:type="spellEnd"/>
      <w:r w:rsidRPr="00D84329">
        <w:rPr>
          <w:rFonts w:ascii="Arial" w:hAnsi="Arial" w:cs="Arial"/>
          <w:sz w:val="24"/>
          <w:szCs w:val="24"/>
          <w:lang w:val="es-ES"/>
        </w:rPr>
        <w:t xml:space="preserve"> L., Aben I., Tol P., </w:t>
      </w:r>
      <w:proofErr w:type="spellStart"/>
      <w:r w:rsidRPr="00D84329">
        <w:rPr>
          <w:rFonts w:ascii="Arial" w:hAnsi="Arial" w:cs="Arial"/>
          <w:sz w:val="24"/>
          <w:szCs w:val="24"/>
          <w:lang w:val="es-ES"/>
        </w:rPr>
        <w:t>Krijger</w:t>
      </w:r>
      <w:proofErr w:type="spellEnd"/>
      <w:r w:rsidRPr="00D84329">
        <w:rPr>
          <w:rFonts w:ascii="Arial" w:hAnsi="Arial" w:cs="Arial"/>
          <w:sz w:val="24"/>
          <w:szCs w:val="24"/>
          <w:lang w:val="es-ES"/>
        </w:rPr>
        <w:t xml:space="preserve"> J. M., </w:t>
      </w:r>
      <w:proofErr w:type="spellStart"/>
      <w:r w:rsidRPr="00D84329">
        <w:rPr>
          <w:rFonts w:ascii="Arial" w:hAnsi="Arial" w:cs="Arial"/>
          <w:sz w:val="24"/>
          <w:szCs w:val="24"/>
          <w:lang w:val="es-ES"/>
        </w:rPr>
        <w:t>Hollstein</w:t>
      </w:r>
      <w:proofErr w:type="spellEnd"/>
      <w:r w:rsidRPr="00D84329">
        <w:rPr>
          <w:rFonts w:ascii="Arial" w:hAnsi="Arial" w:cs="Arial"/>
          <w:sz w:val="24"/>
          <w:szCs w:val="24"/>
          <w:lang w:val="es-ES"/>
        </w:rPr>
        <w:t xml:space="preserve"> A., </w:t>
      </w:r>
      <w:proofErr w:type="spellStart"/>
      <w:r w:rsidRPr="00D84329">
        <w:rPr>
          <w:rFonts w:ascii="Arial" w:hAnsi="Arial" w:cs="Arial"/>
          <w:sz w:val="24"/>
          <w:szCs w:val="24"/>
          <w:lang w:val="es-ES"/>
        </w:rPr>
        <w:t>Köhler</w:t>
      </w:r>
      <w:proofErr w:type="spellEnd"/>
      <w:r w:rsidRPr="00D84329">
        <w:rPr>
          <w:rFonts w:ascii="Arial" w:hAnsi="Arial" w:cs="Arial"/>
          <w:sz w:val="24"/>
          <w:szCs w:val="24"/>
          <w:lang w:val="es-ES"/>
        </w:rPr>
        <w:t xml:space="preserve"> P., </w:t>
      </w:r>
      <w:proofErr w:type="spellStart"/>
      <w:r w:rsidRPr="00D84329">
        <w:rPr>
          <w:rFonts w:ascii="Arial" w:hAnsi="Arial" w:cs="Arial"/>
          <w:sz w:val="24"/>
          <w:szCs w:val="24"/>
          <w:lang w:val="es-ES"/>
        </w:rPr>
        <w:t>Damm</w:t>
      </w:r>
      <w:proofErr w:type="spellEnd"/>
      <w:r w:rsidRPr="00D84329">
        <w:rPr>
          <w:rFonts w:ascii="Arial" w:hAnsi="Arial" w:cs="Arial"/>
          <w:sz w:val="24"/>
          <w:szCs w:val="24"/>
          <w:lang w:val="es-ES"/>
        </w:rPr>
        <w:t xml:space="preserve"> A., </w:t>
      </w:r>
      <w:proofErr w:type="spellStart"/>
      <w:r w:rsidRPr="00D84329">
        <w:rPr>
          <w:rFonts w:ascii="Arial" w:hAnsi="Arial" w:cs="Arial"/>
          <w:sz w:val="24"/>
          <w:szCs w:val="24"/>
          <w:lang w:val="es-ES"/>
        </w:rPr>
        <w:t>Joiner</w:t>
      </w:r>
      <w:proofErr w:type="spellEnd"/>
      <w:r w:rsidRPr="00D84329">
        <w:rPr>
          <w:rFonts w:ascii="Arial" w:hAnsi="Arial" w:cs="Arial"/>
          <w:sz w:val="24"/>
          <w:szCs w:val="24"/>
          <w:lang w:val="es-ES"/>
        </w:rPr>
        <w:t xml:space="preserve"> J., </w:t>
      </w:r>
      <w:proofErr w:type="spellStart"/>
      <w:r w:rsidRPr="00D84329">
        <w:rPr>
          <w:rFonts w:ascii="Arial" w:hAnsi="Arial" w:cs="Arial"/>
          <w:sz w:val="24"/>
          <w:szCs w:val="24"/>
          <w:lang w:val="es-ES"/>
        </w:rPr>
        <w:t>Frankenberg</w:t>
      </w:r>
      <w:proofErr w:type="spellEnd"/>
      <w:r w:rsidRPr="00D84329">
        <w:rPr>
          <w:rFonts w:ascii="Arial" w:hAnsi="Arial" w:cs="Arial"/>
          <w:sz w:val="24"/>
          <w:szCs w:val="24"/>
          <w:lang w:val="es-ES"/>
        </w:rPr>
        <w:t xml:space="preserve"> C., and </w:t>
      </w:r>
      <w:proofErr w:type="spellStart"/>
      <w:r w:rsidRPr="00D84329">
        <w:rPr>
          <w:rFonts w:ascii="Arial" w:hAnsi="Arial" w:cs="Arial"/>
          <w:sz w:val="24"/>
          <w:szCs w:val="24"/>
          <w:lang w:val="es-ES"/>
        </w:rPr>
        <w:t>Landgraf</w:t>
      </w:r>
      <w:proofErr w:type="spellEnd"/>
      <w:r w:rsidRPr="00D84329">
        <w:rPr>
          <w:rFonts w:ascii="Arial" w:hAnsi="Arial" w:cs="Arial"/>
          <w:sz w:val="24"/>
          <w:szCs w:val="24"/>
          <w:lang w:val="es-ES"/>
        </w:rPr>
        <w:t xml:space="preserve"> J. (2015). </w:t>
      </w:r>
      <w:r w:rsidRPr="00D84329">
        <w:rPr>
          <w:rFonts w:ascii="Arial" w:hAnsi="Arial" w:cs="Arial"/>
          <w:sz w:val="24"/>
          <w:szCs w:val="24"/>
        </w:rPr>
        <w:t xml:space="preserve">Potential of the </w:t>
      </w:r>
      <w:proofErr w:type="spellStart"/>
      <w:r w:rsidRPr="00D84329">
        <w:rPr>
          <w:rFonts w:ascii="Arial" w:hAnsi="Arial" w:cs="Arial"/>
          <w:sz w:val="24"/>
          <w:szCs w:val="24"/>
        </w:rPr>
        <w:t>TROPOspheric</w:t>
      </w:r>
      <w:proofErr w:type="spellEnd"/>
      <w:r w:rsidRPr="00D84329">
        <w:rPr>
          <w:rFonts w:ascii="Arial" w:hAnsi="Arial" w:cs="Arial"/>
          <w:sz w:val="24"/>
          <w:szCs w:val="24"/>
        </w:rPr>
        <w:t xml:space="preserve"> Monitoring Instrument (TROPOMI) onboard the Sentinel-5 Precursor for the monitoring of terrestrial chlorophyll fluorescence. </w:t>
      </w:r>
      <w:r w:rsidRPr="00D84329">
        <w:rPr>
          <w:rFonts w:ascii="Arial" w:hAnsi="Arial" w:cs="Arial"/>
          <w:i/>
          <w:sz w:val="24"/>
          <w:szCs w:val="24"/>
        </w:rPr>
        <w:t>Atmos. Meas. Tech</w:t>
      </w:r>
      <w:r w:rsidRPr="00D84329">
        <w:rPr>
          <w:rFonts w:ascii="Arial" w:hAnsi="Arial" w:cs="Arial"/>
          <w:sz w:val="24"/>
          <w:szCs w:val="24"/>
        </w:rPr>
        <w:t xml:space="preserve">., 8, 1337–1352, 2015. www.atmos-meas-tech.net/8/1337/2015/. </w:t>
      </w:r>
      <w:proofErr w:type="gramStart"/>
      <w:r w:rsidRPr="00D84329">
        <w:rPr>
          <w:rFonts w:ascii="Arial" w:hAnsi="Arial" w:cs="Arial"/>
          <w:sz w:val="24"/>
          <w:szCs w:val="24"/>
        </w:rPr>
        <w:t>doi:</w:t>
      </w:r>
      <w:proofErr w:type="gramEnd"/>
      <w:r w:rsidRPr="00D84329">
        <w:rPr>
          <w:rFonts w:ascii="Arial" w:hAnsi="Arial" w:cs="Arial"/>
          <w:sz w:val="24"/>
          <w:szCs w:val="24"/>
        </w:rPr>
        <w:t>10.5194/amt-8-1337-2015</w:t>
      </w:r>
    </w:p>
    <w:p w:rsidR="0036460A" w:rsidRPr="00D84329" w:rsidRDefault="0036460A" w:rsidP="0036460A">
      <w:pPr>
        <w:pStyle w:val="Text"/>
        <w:ind w:left="567" w:hanging="567"/>
        <w:rPr>
          <w:rFonts w:ascii="Arial" w:hAnsi="Arial" w:cs="Arial"/>
          <w:sz w:val="24"/>
          <w:szCs w:val="24"/>
        </w:rPr>
      </w:pPr>
      <w:proofErr w:type="spellStart"/>
      <w:r w:rsidRPr="00D84329">
        <w:rPr>
          <w:rFonts w:ascii="Arial" w:hAnsi="Arial" w:cs="Arial"/>
          <w:sz w:val="24"/>
          <w:szCs w:val="24"/>
        </w:rPr>
        <w:t>Lakkala</w:t>
      </w:r>
      <w:proofErr w:type="spellEnd"/>
      <w:r w:rsidRPr="00D84329">
        <w:rPr>
          <w:rFonts w:ascii="Arial" w:hAnsi="Arial" w:cs="Arial"/>
          <w:sz w:val="24"/>
          <w:szCs w:val="24"/>
        </w:rPr>
        <w:t xml:space="preserve">, K., </w:t>
      </w:r>
      <w:proofErr w:type="spellStart"/>
      <w:r w:rsidRPr="00D84329">
        <w:rPr>
          <w:rFonts w:ascii="Arial" w:hAnsi="Arial" w:cs="Arial"/>
          <w:sz w:val="24"/>
          <w:szCs w:val="24"/>
        </w:rPr>
        <w:t>Kujanpää</w:t>
      </w:r>
      <w:proofErr w:type="spellEnd"/>
      <w:r w:rsidRPr="00D84329">
        <w:rPr>
          <w:rFonts w:ascii="Arial" w:hAnsi="Arial" w:cs="Arial"/>
          <w:sz w:val="24"/>
          <w:szCs w:val="24"/>
        </w:rPr>
        <w:t xml:space="preserve">, J., </w:t>
      </w:r>
      <w:proofErr w:type="spellStart"/>
      <w:r w:rsidRPr="00D84329">
        <w:rPr>
          <w:rFonts w:ascii="Arial" w:hAnsi="Arial" w:cs="Arial"/>
          <w:sz w:val="24"/>
          <w:szCs w:val="24"/>
        </w:rPr>
        <w:t>Brogniez</w:t>
      </w:r>
      <w:proofErr w:type="spellEnd"/>
      <w:r w:rsidRPr="00D84329">
        <w:rPr>
          <w:rFonts w:ascii="Arial" w:hAnsi="Arial" w:cs="Arial"/>
          <w:sz w:val="24"/>
          <w:szCs w:val="24"/>
        </w:rPr>
        <w:t xml:space="preserve">, C., </w:t>
      </w:r>
      <w:proofErr w:type="spellStart"/>
      <w:r w:rsidRPr="00D84329">
        <w:rPr>
          <w:rFonts w:ascii="Arial" w:hAnsi="Arial" w:cs="Arial"/>
          <w:sz w:val="24"/>
          <w:szCs w:val="24"/>
        </w:rPr>
        <w:t>Henriot</w:t>
      </w:r>
      <w:proofErr w:type="spellEnd"/>
      <w:r w:rsidRPr="00D84329">
        <w:rPr>
          <w:rFonts w:ascii="Arial" w:hAnsi="Arial" w:cs="Arial"/>
          <w:sz w:val="24"/>
          <w:szCs w:val="24"/>
        </w:rPr>
        <w:t xml:space="preserve">, N., </w:t>
      </w:r>
      <w:proofErr w:type="spellStart"/>
      <w:r w:rsidRPr="00D84329">
        <w:rPr>
          <w:rFonts w:ascii="Arial" w:hAnsi="Arial" w:cs="Arial"/>
          <w:sz w:val="24"/>
          <w:szCs w:val="24"/>
        </w:rPr>
        <w:t>Arola</w:t>
      </w:r>
      <w:proofErr w:type="spellEnd"/>
      <w:r w:rsidRPr="00D84329">
        <w:rPr>
          <w:rFonts w:ascii="Arial" w:hAnsi="Arial" w:cs="Arial"/>
          <w:sz w:val="24"/>
          <w:szCs w:val="24"/>
        </w:rPr>
        <w:t xml:space="preserve">, A., </w:t>
      </w:r>
      <w:proofErr w:type="spellStart"/>
      <w:r w:rsidRPr="00D84329">
        <w:rPr>
          <w:rFonts w:ascii="Arial" w:hAnsi="Arial" w:cs="Arial"/>
          <w:sz w:val="24"/>
          <w:szCs w:val="24"/>
        </w:rPr>
        <w:t>Aun</w:t>
      </w:r>
      <w:proofErr w:type="spellEnd"/>
      <w:r w:rsidRPr="00D84329">
        <w:rPr>
          <w:rFonts w:ascii="Arial" w:hAnsi="Arial" w:cs="Arial"/>
          <w:sz w:val="24"/>
          <w:szCs w:val="24"/>
        </w:rPr>
        <w:t xml:space="preserve">, M., Auriol, F., </w:t>
      </w:r>
      <w:proofErr w:type="spellStart"/>
      <w:r w:rsidRPr="00D84329">
        <w:rPr>
          <w:rFonts w:ascii="Arial" w:hAnsi="Arial" w:cs="Arial"/>
          <w:sz w:val="24"/>
          <w:szCs w:val="24"/>
        </w:rPr>
        <w:t>Bais</w:t>
      </w:r>
      <w:proofErr w:type="spellEnd"/>
      <w:r w:rsidRPr="00D84329">
        <w:rPr>
          <w:rFonts w:ascii="Arial" w:hAnsi="Arial" w:cs="Arial"/>
          <w:sz w:val="24"/>
          <w:szCs w:val="24"/>
        </w:rPr>
        <w:t xml:space="preserve">, A. F., Bernhard, G., De Bock, V., </w:t>
      </w:r>
      <w:proofErr w:type="spellStart"/>
      <w:r w:rsidRPr="00D84329">
        <w:rPr>
          <w:rFonts w:ascii="Arial" w:hAnsi="Arial" w:cs="Arial"/>
          <w:sz w:val="24"/>
          <w:szCs w:val="24"/>
        </w:rPr>
        <w:t>Catalfamo</w:t>
      </w:r>
      <w:proofErr w:type="spellEnd"/>
      <w:r w:rsidRPr="00D84329">
        <w:rPr>
          <w:rFonts w:ascii="Arial" w:hAnsi="Arial" w:cs="Arial"/>
          <w:sz w:val="24"/>
          <w:szCs w:val="24"/>
        </w:rPr>
        <w:t xml:space="preserve">, M., </w:t>
      </w:r>
      <w:proofErr w:type="spellStart"/>
      <w:r w:rsidRPr="00D84329">
        <w:rPr>
          <w:rFonts w:ascii="Arial" w:hAnsi="Arial" w:cs="Arial"/>
          <w:sz w:val="24"/>
          <w:szCs w:val="24"/>
        </w:rPr>
        <w:t>Deroo</w:t>
      </w:r>
      <w:proofErr w:type="spellEnd"/>
      <w:r w:rsidRPr="00D84329">
        <w:rPr>
          <w:rFonts w:ascii="Arial" w:hAnsi="Arial" w:cs="Arial"/>
          <w:sz w:val="24"/>
          <w:szCs w:val="24"/>
        </w:rPr>
        <w:t xml:space="preserve">, C., </w:t>
      </w:r>
      <w:proofErr w:type="spellStart"/>
      <w:r w:rsidRPr="00D84329">
        <w:rPr>
          <w:rFonts w:ascii="Arial" w:hAnsi="Arial" w:cs="Arial"/>
          <w:sz w:val="24"/>
          <w:szCs w:val="24"/>
        </w:rPr>
        <w:t>Diémoz</w:t>
      </w:r>
      <w:proofErr w:type="spellEnd"/>
      <w:r w:rsidRPr="00D84329">
        <w:rPr>
          <w:rFonts w:ascii="Arial" w:hAnsi="Arial" w:cs="Arial"/>
          <w:sz w:val="24"/>
          <w:szCs w:val="24"/>
        </w:rPr>
        <w:t xml:space="preserve">, H., </w:t>
      </w:r>
      <w:proofErr w:type="spellStart"/>
      <w:r w:rsidRPr="00D84329">
        <w:rPr>
          <w:rFonts w:ascii="Arial" w:hAnsi="Arial" w:cs="Arial"/>
          <w:sz w:val="24"/>
          <w:szCs w:val="24"/>
        </w:rPr>
        <w:t>Egli</w:t>
      </w:r>
      <w:proofErr w:type="spellEnd"/>
      <w:r w:rsidRPr="00D84329">
        <w:rPr>
          <w:rFonts w:ascii="Arial" w:hAnsi="Arial" w:cs="Arial"/>
          <w:sz w:val="24"/>
          <w:szCs w:val="24"/>
        </w:rPr>
        <w:t xml:space="preserve">, L., </w:t>
      </w:r>
      <w:proofErr w:type="spellStart"/>
      <w:r w:rsidRPr="00D84329">
        <w:rPr>
          <w:rFonts w:ascii="Arial" w:hAnsi="Arial" w:cs="Arial"/>
          <w:sz w:val="24"/>
          <w:szCs w:val="24"/>
        </w:rPr>
        <w:t>Forestier</w:t>
      </w:r>
      <w:proofErr w:type="spellEnd"/>
      <w:r w:rsidRPr="00D84329">
        <w:rPr>
          <w:rFonts w:ascii="Arial" w:hAnsi="Arial" w:cs="Arial"/>
          <w:sz w:val="24"/>
          <w:szCs w:val="24"/>
        </w:rPr>
        <w:t xml:space="preserve">, J.-B., </w:t>
      </w:r>
      <w:proofErr w:type="spellStart"/>
      <w:r w:rsidRPr="00D84329">
        <w:rPr>
          <w:rFonts w:ascii="Arial" w:hAnsi="Arial" w:cs="Arial"/>
          <w:sz w:val="24"/>
          <w:szCs w:val="24"/>
        </w:rPr>
        <w:t>Fountoulakis</w:t>
      </w:r>
      <w:proofErr w:type="spellEnd"/>
      <w:r w:rsidRPr="00D84329">
        <w:rPr>
          <w:rFonts w:ascii="Arial" w:hAnsi="Arial" w:cs="Arial"/>
          <w:sz w:val="24"/>
          <w:szCs w:val="24"/>
        </w:rPr>
        <w:t xml:space="preserve">, I., </w:t>
      </w:r>
      <w:proofErr w:type="spellStart"/>
      <w:r w:rsidRPr="00D84329">
        <w:rPr>
          <w:rFonts w:ascii="Arial" w:hAnsi="Arial" w:cs="Arial"/>
          <w:sz w:val="24"/>
          <w:szCs w:val="24"/>
        </w:rPr>
        <w:t>Garane</w:t>
      </w:r>
      <w:proofErr w:type="spellEnd"/>
      <w:r w:rsidRPr="00D84329">
        <w:rPr>
          <w:rFonts w:ascii="Arial" w:hAnsi="Arial" w:cs="Arial"/>
          <w:sz w:val="24"/>
          <w:szCs w:val="24"/>
        </w:rPr>
        <w:t xml:space="preserve">, K., Garcia, R. D., </w:t>
      </w:r>
      <w:proofErr w:type="spellStart"/>
      <w:r w:rsidRPr="00D84329">
        <w:rPr>
          <w:rFonts w:ascii="Arial" w:hAnsi="Arial" w:cs="Arial"/>
          <w:sz w:val="24"/>
          <w:szCs w:val="24"/>
        </w:rPr>
        <w:t>Gröbner</w:t>
      </w:r>
      <w:proofErr w:type="spellEnd"/>
      <w:r w:rsidRPr="00D84329">
        <w:rPr>
          <w:rFonts w:ascii="Arial" w:hAnsi="Arial" w:cs="Arial"/>
          <w:sz w:val="24"/>
          <w:szCs w:val="24"/>
        </w:rPr>
        <w:t xml:space="preserve">, J., </w:t>
      </w:r>
      <w:proofErr w:type="spellStart"/>
      <w:r w:rsidRPr="00D84329">
        <w:rPr>
          <w:rFonts w:ascii="Arial" w:hAnsi="Arial" w:cs="Arial"/>
          <w:sz w:val="24"/>
          <w:szCs w:val="24"/>
        </w:rPr>
        <w:t>Hassinen</w:t>
      </w:r>
      <w:proofErr w:type="spellEnd"/>
      <w:r w:rsidRPr="00D84329">
        <w:rPr>
          <w:rFonts w:ascii="Arial" w:hAnsi="Arial" w:cs="Arial"/>
          <w:sz w:val="24"/>
          <w:szCs w:val="24"/>
        </w:rPr>
        <w:t xml:space="preserve">, S., </w:t>
      </w:r>
      <w:proofErr w:type="spellStart"/>
      <w:r w:rsidRPr="00D84329">
        <w:rPr>
          <w:rFonts w:ascii="Arial" w:hAnsi="Arial" w:cs="Arial"/>
          <w:sz w:val="24"/>
          <w:szCs w:val="24"/>
        </w:rPr>
        <w:t>Heikkilä</w:t>
      </w:r>
      <w:proofErr w:type="spellEnd"/>
      <w:r w:rsidRPr="00D84329">
        <w:rPr>
          <w:rFonts w:ascii="Arial" w:hAnsi="Arial" w:cs="Arial"/>
          <w:sz w:val="24"/>
          <w:szCs w:val="24"/>
        </w:rPr>
        <w:t xml:space="preserve">, A., Henderson, S., </w:t>
      </w:r>
      <w:proofErr w:type="spellStart"/>
      <w:r w:rsidRPr="00D84329">
        <w:rPr>
          <w:rFonts w:ascii="Arial" w:hAnsi="Arial" w:cs="Arial"/>
          <w:sz w:val="24"/>
          <w:szCs w:val="24"/>
        </w:rPr>
        <w:t>Hülsen</w:t>
      </w:r>
      <w:proofErr w:type="spellEnd"/>
      <w:r w:rsidRPr="00D84329">
        <w:rPr>
          <w:rFonts w:ascii="Arial" w:hAnsi="Arial" w:cs="Arial"/>
          <w:sz w:val="24"/>
          <w:szCs w:val="24"/>
        </w:rPr>
        <w:t xml:space="preserve">, G., </w:t>
      </w:r>
      <w:proofErr w:type="spellStart"/>
      <w:r w:rsidRPr="00D84329">
        <w:rPr>
          <w:rFonts w:ascii="Arial" w:hAnsi="Arial" w:cs="Arial"/>
          <w:sz w:val="24"/>
          <w:szCs w:val="24"/>
        </w:rPr>
        <w:t>Johnsen</w:t>
      </w:r>
      <w:proofErr w:type="spellEnd"/>
      <w:r w:rsidRPr="00D84329">
        <w:rPr>
          <w:rFonts w:ascii="Arial" w:hAnsi="Arial" w:cs="Arial"/>
          <w:sz w:val="24"/>
          <w:szCs w:val="24"/>
        </w:rPr>
        <w:t xml:space="preserve">, B., </w:t>
      </w:r>
      <w:proofErr w:type="spellStart"/>
      <w:r w:rsidRPr="00D84329">
        <w:rPr>
          <w:rFonts w:ascii="Arial" w:hAnsi="Arial" w:cs="Arial"/>
          <w:sz w:val="24"/>
          <w:szCs w:val="24"/>
        </w:rPr>
        <w:t>Kalakoski</w:t>
      </w:r>
      <w:proofErr w:type="spellEnd"/>
      <w:r w:rsidRPr="00D84329">
        <w:rPr>
          <w:rFonts w:ascii="Arial" w:hAnsi="Arial" w:cs="Arial"/>
          <w:sz w:val="24"/>
          <w:szCs w:val="24"/>
        </w:rPr>
        <w:t xml:space="preserve">, N., </w:t>
      </w:r>
      <w:proofErr w:type="spellStart"/>
      <w:r w:rsidRPr="00D84329">
        <w:rPr>
          <w:rFonts w:ascii="Arial" w:hAnsi="Arial" w:cs="Arial"/>
          <w:sz w:val="24"/>
          <w:szCs w:val="24"/>
        </w:rPr>
        <w:t>Karanikolas</w:t>
      </w:r>
      <w:proofErr w:type="spellEnd"/>
      <w:r w:rsidRPr="00D84329">
        <w:rPr>
          <w:rFonts w:ascii="Arial" w:hAnsi="Arial" w:cs="Arial"/>
          <w:sz w:val="24"/>
          <w:szCs w:val="24"/>
        </w:rPr>
        <w:t xml:space="preserve">, A., </w:t>
      </w:r>
      <w:proofErr w:type="spellStart"/>
      <w:r w:rsidRPr="00D84329">
        <w:rPr>
          <w:rFonts w:ascii="Arial" w:hAnsi="Arial" w:cs="Arial"/>
          <w:sz w:val="24"/>
          <w:szCs w:val="24"/>
        </w:rPr>
        <w:t>Karppinen</w:t>
      </w:r>
      <w:proofErr w:type="spellEnd"/>
      <w:r w:rsidRPr="00D84329">
        <w:rPr>
          <w:rFonts w:ascii="Arial" w:hAnsi="Arial" w:cs="Arial"/>
          <w:sz w:val="24"/>
          <w:szCs w:val="24"/>
        </w:rPr>
        <w:t xml:space="preserve">, T., </w:t>
      </w:r>
      <w:proofErr w:type="spellStart"/>
      <w:r w:rsidRPr="00D84329">
        <w:rPr>
          <w:rFonts w:ascii="Arial" w:hAnsi="Arial" w:cs="Arial"/>
          <w:sz w:val="24"/>
          <w:szCs w:val="24"/>
        </w:rPr>
        <w:t>Lamy</w:t>
      </w:r>
      <w:proofErr w:type="spellEnd"/>
      <w:r w:rsidRPr="00D84329">
        <w:rPr>
          <w:rFonts w:ascii="Arial" w:hAnsi="Arial" w:cs="Arial"/>
          <w:sz w:val="24"/>
          <w:szCs w:val="24"/>
        </w:rPr>
        <w:t xml:space="preserve">, K., León-Luis, S. F., </w:t>
      </w:r>
      <w:proofErr w:type="spellStart"/>
      <w:r w:rsidRPr="00D84329">
        <w:rPr>
          <w:rFonts w:ascii="Arial" w:hAnsi="Arial" w:cs="Arial"/>
          <w:sz w:val="24"/>
          <w:szCs w:val="24"/>
        </w:rPr>
        <w:t>Lindfors</w:t>
      </w:r>
      <w:proofErr w:type="spellEnd"/>
      <w:r w:rsidRPr="00D84329">
        <w:rPr>
          <w:rFonts w:ascii="Arial" w:hAnsi="Arial" w:cs="Arial"/>
          <w:sz w:val="24"/>
          <w:szCs w:val="24"/>
        </w:rPr>
        <w:t xml:space="preserve">, A. V., Metzger, J.-M., </w:t>
      </w:r>
      <w:proofErr w:type="spellStart"/>
      <w:r w:rsidRPr="00D84329">
        <w:rPr>
          <w:rFonts w:ascii="Arial" w:hAnsi="Arial" w:cs="Arial"/>
          <w:sz w:val="24"/>
          <w:szCs w:val="24"/>
        </w:rPr>
        <w:t>Minvielle</w:t>
      </w:r>
      <w:proofErr w:type="spellEnd"/>
      <w:r w:rsidRPr="00D84329">
        <w:rPr>
          <w:rFonts w:ascii="Arial" w:hAnsi="Arial" w:cs="Arial"/>
          <w:sz w:val="24"/>
          <w:szCs w:val="24"/>
        </w:rPr>
        <w:t xml:space="preserve">, F., </w:t>
      </w:r>
      <w:proofErr w:type="spellStart"/>
      <w:r w:rsidRPr="00D84329">
        <w:rPr>
          <w:rFonts w:ascii="Arial" w:hAnsi="Arial" w:cs="Arial"/>
          <w:sz w:val="24"/>
          <w:szCs w:val="24"/>
        </w:rPr>
        <w:t>Muskatel</w:t>
      </w:r>
      <w:proofErr w:type="spellEnd"/>
      <w:r w:rsidRPr="00D84329">
        <w:rPr>
          <w:rFonts w:ascii="Arial" w:hAnsi="Arial" w:cs="Arial"/>
          <w:sz w:val="24"/>
          <w:szCs w:val="24"/>
        </w:rPr>
        <w:t xml:space="preserve">, H. B., </w:t>
      </w:r>
      <w:proofErr w:type="spellStart"/>
      <w:r w:rsidRPr="00D84329">
        <w:rPr>
          <w:rFonts w:ascii="Arial" w:hAnsi="Arial" w:cs="Arial"/>
          <w:sz w:val="24"/>
          <w:szCs w:val="24"/>
        </w:rPr>
        <w:t>Portafaix</w:t>
      </w:r>
      <w:proofErr w:type="spellEnd"/>
      <w:r w:rsidRPr="00D84329">
        <w:rPr>
          <w:rFonts w:ascii="Arial" w:hAnsi="Arial" w:cs="Arial"/>
          <w:sz w:val="24"/>
          <w:szCs w:val="24"/>
        </w:rPr>
        <w:t xml:space="preserve">, T., </w:t>
      </w:r>
      <w:proofErr w:type="spellStart"/>
      <w:r w:rsidRPr="00D84329">
        <w:rPr>
          <w:rFonts w:ascii="Arial" w:hAnsi="Arial" w:cs="Arial"/>
          <w:sz w:val="24"/>
          <w:szCs w:val="24"/>
        </w:rPr>
        <w:t>Redondas</w:t>
      </w:r>
      <w:proofErr w:type="spellEnd"/>
      <w:r w:rsidRPr="00D84329">
        <w:rPr>
          <w:rFonts w:ascii="Arial" w:hAnsi="Arial" w:cs="Arial"/>
          <w:sz w:val="24"/>
          <w:szCs w:val="24"/>
        </w:rPr>
        <w:t xml:space="preserve">, A., Sanchez, R., </w:t>
      </w:r>
      <w:proofErr w:type="spellStart"/>
      <w:r w:rsidRPr="00D84329">
        <w:rPr>
          <w:rFonts w:ascii="Arial" w:hAnsi="Arial" w:cs="Arial"/>
          <w:sz w:val="24"/>
          <w:szCs w:val="24"/>
        </w:rPr>
        <w:t>Siani</w:t>
      </w:r>
      <w:proofErr w:type="spellEnd"/>
      <w:r w:rsidRPr="00D84329">
        <w:rPr>
          <w:rFonts w:ascii="Arial" w:hAnsi="Arial" w:cs="Arial"/>
          <w:sz w:val="24"/>
          <w:szCs w:val="24"/>
        </w:rPr>
        <w:t xml:space="preserve">, A. M., </w:t>
      </w:r>
      <w:proofErr w:type="spellStart"/>
      <w:r w:rsidRPr="00D84329">
        <w:rPr>
          <w:rFonts w:ascii="Arial" w:hAnsi="Arial" w:cs="Arial"/>
          <w:sz w:val="24"/>
          <w:szCs w:val="24"/>
        </w:rPr>
        <w:t>Svendby</w:t>
      </w:r>
      <w:proofErr w:type="spellEnd"/>
      <w:r w:rsidRPr="00D84329">
        <w:rPr>
          <w:rFonts w:ascii="Arial" w:hAnsi="Arial" w:cs="Arial"/>
          <w:sz w:val="24"/>
          <w:szCs w:val="24"/>
        </w:rPr>
        <w:t xml:space="preserve">, T., and </w:t>
      </w:r>
      <w:proofErr w:type="spellStart"/>
      <w:r w:rsidRPr="00D84329">
        <w:rPr>
          <w:rFonts w:ascii="Arial" w:hAnsi="Arial" w:cs="Arial"/>
          <w:sz w:val="24"/>
          <w:szCs w:val="24"/>
        </w:rPr>
        <w:t>Tamminen</w:t>
      </w:r>
      <w:proofErr w:type="spellEnd"/>
      <w:r w:rsidRPr="00D84329">
        <w:rPr>
          <w:rFonts w:ascii="Arial" w:hAnsi="Arial" w:cs="Arial"/>
          <w:sz w:val="24"/>
          <w:szCs w:val="24"/>
        </w:rPr>
        <w:t xml:space="preserve">, J. (2020). Validation of the </w:t>
      </w:r>
      <w:proofErr w:type="spellStart"/>
      <w:r w:rsidRPr="00D84329">
        <w:rPr>
          <w:rFonts w:ascii="Arial" w:hAnsi="Arial" w:cs="Arial"/>
          <w:sz w:val="24"/>
          <w:szCs w:val="24"/>
        </w:rPr>
        <w:t>TROPOspheric</w:t>
      </w:r>
      <w:proofErr w:type="spellEnd"/>
      <w:r w:rsidRPr="00D84329">
        <w:rPr>
          <w:rFonts w:ascii="Arial" w:hAnsi="Arial" w:cs="Arial"/>
          <w:sz w:val="24"/>
          <w:szCs w:val="24"/>
        </w:rPr>
        <w:t xml:space="preserve"> Monitoring Instrument (TROPOMI) surface UV radiation product, </w:t>
      </w:r>
      <w:r w:rsidRPr="00D84329">
        <w:rPr>
          <w:rFonts w:ascii="Arial" w:hAnsi="Arial" w:cs="Arial"/>
          <w:i/>
          <w:sz w:val="24"/>
          <w:szCs w:val="24"/>
        </w:rPr>
        <w:t>Atmos. Meas. Tech</w:t>
      </w:r>
      <w:r w:rsidRPr="00D84329">
        <w:rPr>
          <w:rFonts w:ascii="Arial" w:hAnsi="Arial" w:cs="Arial"/>
          <w:sz w:val="24"/>
          <w:szCs w:val="24"/>
        </w:rPr>
        <w:t xml:space="preserve">., 13, 6999–7024, https://doi.org/10.5194/amt-13-6999-2020  </w:t>
      </w:r>
    </w:p>
    <w:p w:rsidR="0036460A" w:rsidRPr="00D84329" w:rsidRDefault="0036460A" w:rsidP="0036460A">
      <w:pPr>
        <w:pStyle w:val="Text"/>
        <w:ind w:left="567" w:hanging="567"/>
        <w:rPr>
          <w:rFonts w:ascii="Arial" w:hAnsi="Arial" w:cs="Arial"/>
          <w:sz w:val="24"/>
          <w:szCs w:val="24"/>
          <w:lang w:val="es-ES"/>
        </w:rPr>
      </w:pPr>
      <w:proofErr w:type="spellStart"/>
      <w:r w:rsidRPr="00D84329">
        <w:rPr>
          <w:rFonts w:ascii="Arial" w:hAnsi="Arial" w:cs="Arial"/>
          <w:sz w:val="24"/>
          <w:szCs w:val="24"/>
        </w:rPr>
        <w:t>Mihelcic</w:t>
      </w:r>
      <w:proofErr w:type="spellEnd"/>
      <w:r w:rsidRPr="00D84329">
        <w:rPr>
          <w:rFonts w:ascii="Arial" w:hAnsi="Arial" w:cs="Arial"/>
          <w:sz w:val="24"/>
          <w:szCs w:val="24"/>
        </w:rPr>
        <w:t xml:space="preserve">, James R. y Zimmerman, Julie Beth. </w:t>
      </w:r>
      <w:r w:rsidRPr="00D84329">
        <w:rPr>
          <w:rFonts w:ascii="Arial" w:hAnsi="Arial" w:cs="Arial"/>
          <w:sz w:val="24"/>
          <w:szCs w:val="24"/>
          <w:lang w:val="es-ES"/>
        </w:rPr>
        <w:t xml:space="preserve">(2011). </w:t>
      </w:r>
      <w:r w:rsidRPr="00D84329">
        <w:rPr>
          <w:rFonts w:ascii="Arial" w:hAnsi="Arial" w:cs="Arial"/>
          <w:i/>
          <w:sz w:val="24"/>
          <w:szCs w:val="24"/>
          <w:lang w:val="es-ES"/>
        </w:rPr>
        <w:t>Ingeniería ambiental: fundamentos, sustentabilidad, diseño</w:t>
      </w:r>
      <w:r w:rsidRPr="00D84329">
        <w:rPr>
          <w:rFonts w:ascii="Arial" w:hAnsi="Arial" w:cs="Arial"/>
          <w:sz w:val="24"/>
          <w:szCs w:val="24"/>
          <w:lang w:val="es-ES"/>
        </w:rPr>
        <w:t xml:space="preserve">. Primera edición: </w:t>
      </w:r>
      <w:proofErr w:type="spellStart"/>
      <w:r w:rsidRPr="00D84329">
        <w:rPr>
          <w:rFonts w:ascii="Arial" w:hAnsi="Arial" w:cs="Arial"/>
          <w:sz w:val="24"/>
          <w:szCs w:val="24"/>
          <w:lang w:val="es-ES"/>
        </w:rPr>
        <w:t>Alfaomega</w:t>
      </w:r>
      <w:proofErr w:type="spellEnd"/>
      <w:r w:rsidRPr="00D84329">
        <w:rPr>
          <w:rFonts w:ascii="Arial" w:hAnsi="Arial" w:cs="Arial"/>
          <w:sz w:val="24"/>
          <w:szCs w:val="24"/>
          <w:lang w:val="es-ES"/>
        </w:rPr>
        <w:t xml:space="preserve"> Grupo Editor, México. ISBN: 978-607-707-317-8</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Núñez Caraballo, V., Rodríguez Rojas, R., Gómez Camacho, L., Herrera Moya, I., Morales Pérez, M. C. (2019). Emisiones de dióxido de azufre a la atmósfera por fuentes Ajas del MINAG y su influencia en la calidad del aire en la provincia de Villa Clara. </w:t>
      </w:r>
      <w:r w:rsidRPr="00D84329">
        <w:rPr>
          <w:rFonts w:ascii="Arial" w:hAnsi="Arial" w:cs="Arial"/>
          <w:i/>
          <w:sz w:val="24"/>
          <w:szCs w:val="24"/>
          <w:lang w:val="es-ES"/>
        </w:rPr>
        <w:t>Centro Agrícola</w:t>
      </w:r>
      <w:r w:rsidRPr="00D84329">
        <w:rPr>
          <w:rFonts w:ascii="Arial" w:hAnsi="Arial" w:cs="Arial"/>
          <w:sz w:val="24"/>
          <w:szCs w:val="24"/>
          <w:lang w:val="es-ES"/>
        </w:rPr>
        <w:t xml:space="preserve">. Vol.46, No.3, julio-septiembre, 86-95. ISSN papel: 0253-5785 ISSN </w:t>
      </w:r>
      <w:proofErr w:type="spellStart"/>
      <w:r w:rsidRPr="00D84329">
        <w:rPr>
          <w:rFonts w:ascii="Arial" w:hAnsi="Arial" w:cs="Arial"/>
          <w:sz w:val="24"/>
          <w:szCs w:val="24"/>
          <w:lang w:val="es-ES"/>
        </w:rPr>
        <w:t>on</w:t>
      </w:r>
      <w:proofErr w:type="spellEnd"/>
      <w:r w:rsidRPr="00D84329">
        <w:rPr>
          <w:rFonts w:ascii="Arial" w:hAnsi="Arial" w:cs="Arial"/>
          <w:sz w:val="24"/>
          <w:szCs w:val="24"/>
          <w:lang w:val="es-ES"/>
        </w:rPr>
        <w:t xml:space="preserve"> line: 2072-2001.</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Núñez-Caraballo, V., Saura-González, G., Rodríguez-Rojas, R., Otero-Martín, M., Machado-Montes de Oca, A., </w:t>
      </w:r>
      <w:proofErr w:type="spellStart"/>
      <w:r w:rsidRPr="00D84329">
        <w:rPr>
          <w:rFonts w:ascii="Arial" w:hAnsi="Arial" w:cs="Arial"/>
          <w:sz w:val="24"/>
          <w:szCs w:val="24"/>
          <w:lang w:val="es-ES"/>
        </w:rPr>
        <w:t>Purón-Arbolaez</w:t>
      </w:r>
      <w:proofErr w:type="spellEnd"/>
      <w:r w:rsidRPr="00D84329">
        <w:rPr>
          <w:rFonts w:ascii="Arial" w:hAnsi="Arial" w:cs="Arial"/>
          <w:sz w:val="24"/>
          <w:szCs w:val="24"/>
          <w:lang w:val="es-ES"/>
        </w:rPr>
        <w:t>, M., Martínez-Pérez, I., Pérez-</w:t>
      </w:r>
      <w:proofErr w:type="spellStart"/>
      <w:r w:rsidRPr="00D84329">
        <w:rPr>
          <w:rFonts w:ascii="Arial" w:hAnsi="Arial" w:cs="Arial"/>
          <w:sz w:val="24"/>
          <w:szCs w:val="24"/>
          <w:lang w:val="es-ES"/>
        </w:rPr>
        <w:t>Borroto</w:t>
      </w:r>
      <w:proofErr w:type="spellEnd"/>
      <w:r w:rsidRPr="00D84329">
        <w:rPr>
          <w:rFonts w:ascii="Arial" w:hAnsi="Arial" w:cs="Arial"/>
          <w:sz w:val="24"/>
          <w:szCs w:val="24"/>
          <w:lang w:val="es-ES"/>
        </w:rPr>
        <w:t>, L., Cuesta-Santos, O., Herrera-Moya, I., Morales-Pérez, M., Pedraza-</w:t>
      </w:r>
      <w:proofErr w:type="spellStart"/>
      <w:r w:rsidRPr="00D84329">
        <w:rPr>
          <w:rFonts w:ascii="Arial" w:hAnsi="Arial" w:cs="Arial"/>
          <w:sz w:val="24"/>
          <w:szCs w:val="24"/>
          <w:lang w:val="es-ES"/>
        </w:rPr>
        <w:t>Gárciga</w:t>
      </w:r>
      <w:proofErr w:type="spellEnd"/>
      <w:r w:rsidRPr="00D84329">
        <w:rPr>
          <w:rFonts w:ascii="Arial" w:hAnsi="Arial" w:cs="Arial"/>
          <w:sz w:val="24"/>
          <w:szCs w:val="24"/>
          <w:lang w:val="es-ES"/>
        </w:rPr>
        <w:t xml:space="preserve">, J.,  Alejo-Sánchez, D. (2018). Inventario de emisiones de fuentes fijas y móviles, municipio </w:t>
      </w:r>
      <w:proofErr w:type="spellStart"/>
      <w:r w:rsidRPr="00D84329">
        <w:rPr>
          <w:rFonts w:ascii="Arial" w:hAnsi="Arial" w:cs="Arial"/>
          <w:sz w:val="24"/>
          <w:szCs w:val="24"/>
          <w:lang w:val="es-ES"/>
        </w:rPr>
        <w:t>Ranchuelo</w:t>
      </w:r>
      <w:proofErr w:type="spellEnd"/>
      <w:r w:rsidRPr="00D84329">
        <w:rPr>
          <w:rFonts w:ascii="Arial" w:hAnsi="Arial" w:cs="Arial"/>
          <w:sz w:val="24"/>
          <w:szCs w:val="24"/>
          <w:lang w:val="es-ES"/>
        </w:rPr>
        <w:t xml:space="preserve">, provincia Villa Clara, Cuba. </w:t>
      </w:r>
      <w:r w:rsidRPr="00D84329">
        <w:rPr>
          <w:rFonts w:ascii="Arial" w:hAnsi="Arial" w:cs="Arial"/>
          <w:i/>
          <w:sz w:val="24"/>
          <w:szCs w:val="24"/>
          <w:lang w:val="es-ES"/>
        </w:rPr>
        <w:t>Revista Cubana de Meteorología</w:t>
      </w:r>
      <w:r w:rsidRPr="00D84329">
        <w:rPr>
          <w:rFonts w:ascii="Arial" w:hAnsi="Arial" w:cs="Arial"/>
          <w:sz w:val="24"/>
          <w:szCs w:val="24"/>
          <w:lang w:val="es-ES"/>
        </w:rPr>
        <w:t xml:space="preserve">, Vol. 24, No. </w:t>
      </w:r>
      <w:proofErr w:type="spellStart"/>
      <w:r w:rsidRPr="00D84329">
        <w:rPr>
          <w:rFonts w:ascii="Arial" w:hAnsi="Arial" w:cs="Arial"/>
          <w:sz w:val="24"/>
          <w:szCs w:val="24"/>
          <w:lang w:val="es-ES"/>
        </w:rPr>
        <w:t>sp</w:t>
      </w:r>
      <w:proofErr w:type="spellEnd"/>
      <w:r w:rsidRPr="00D84329">
        <w:rPr>
          <w:rFonts w:ascii="Arial" w:hAnsi="Arial" w:cs="Arial"/>
          <w:sz w:val="24"/>
          <w:szCs w:val="24"/>
          <w:lang w:val="es-ES"/>
        </w:rPr>
        <w:t>, E-ISSN: 0864-151X</w:t>
      </w:r>
    </w:p>
    <w:p w:rsidR="0036460A" w:rsidRPr="00D84329" w:rsidRDefault="0036460A" w:rsidP="0036460A">
      <w:pPr>
        <w:pStyle w:val="Text"/>
        <w:ind w:left="567" w:hanging="567"/>
        <w:rPr>
          <w:rFonts w:ascii="Arial" w:hAnsi="Arial" w:cs="Arial"/>
          <w:sz w:val="24"/>
          <w:szCs w:val="24"/>
          <w:lang w:val="es-ES"/>
        </w:rPr>
      </w:pPr>
      <w:r w:rsidRPr="00D84329">
        <w:rPr>
          <w:rFonts w:ascii="Arial" w:hAnsi="Arial" w:cs="Arial"/>
          <w:sz w:val="24"/>
          <w:szCs w:val="24"/>
          <w:lang w:val="es-ES"/>
        </w:rPr>
        <w:t xml:space="preserve">Programa de las Naciones Unidas para el Medio Ambiente (PNUMA). (2008). Perspectivas del Medio Ambiente Urbano GEO Santa Clara. Editorial Academia. La Habana.  </w:t>
      </w:r>
    </w:p>
    <w:p w:rsidR="0036460A" w:rsidRPr="00D84329" w:rsidRDefault="0036460A" w:rsidP="0036460A">
      <w:pPr>
        <w:pStyle w:val="Text"/>
        <w:spacing w:line="240" w:lineRule="auto"/>
        <w:ind w:left="567" w:hanging="567"/>
        <w:rPr>
          <w:rFonts w:ascii="Arial" w:hAnsi="Arial" w:cs="Arial"/>
          <w:sz w:val="24"/>
          <w:szCs w:val="24"/>
        </w:rPr>
      </w:pPr>
      <w:r w:rsidRPr="00D84329">
        <w:rPr>
          <w:rFonts w:ascii="Arial" w:hAnsi="Arial" w:cs="Arial"/>
          <w:sz w:val="24"/>
          <w:szCs w:val="24"/>
          <w:lang w:val="es-ES"/>
        </w:rPr>
        <w:t xml:space="preserve">Romero Placeres, M., Diego </w:t>
      </w:r>
      <w:proofErr w:type="spellStart"/>
      <w:r w:rsidRPr="00D84329">
        <w:rPr>
          <w:rFonts w:ascii="Arial" w:hAnsi="Arial" w:cs="Arial"/>
          <w:sz w:val="24"/>
          <w:szCs w:val="24"/>
          <w:lang w:val="es-ES"/>
        </w:rPr>
        <w:t>Olite</w:t>
      </w:r>
      <w:proofErr w:type="spellEnd"/>
      <w:r w:rsidRPr="00D84329">
        <w:rPr>
          <w:rFonts w:ascii="Arial" w:hAnsi="Arial" w:cs="Arial"/>
          <w:sz w:val="24"/>
          <w:szCs w:val="24"/>
          <w:lang w:val="es-ES"/>
        </w:rPr>
        <w:t xml:space="preserve">, F. y Álvarez </w:t>
      </w:r>
      <w:proofErr w:type="spellStart"/>
      <w:r w:rsidRPr="00D84329">
        <w:rPr>
          <w:rFonts w:ascii="Arial" w:hAnsi="Arial" w:cs="Arial"/>
          <w:sz w:val="24"/>
          <w:szCs w:val="24"/>
          <w:lang w:val="es-ES"/>
        </w:rPr>
        <w:t>Toste</w:t>
      </w:r>
      <w:proofErr w:type="spellEnd"/>
      <w:r w:rsidRPr="00D84329">
        <w:rPr>
          <w:rFonts w:ascii="Arial" w:hAnsi="Arial" w:cs="Arial"/>
          <w:sz w:val="24"/>
          <w:szCs w:val="24"/>
          <w:lang w:val="es-ES"/>
        </w:rPr>
        <w:t xml:space="preserve">, M. (2006). La contaminación del aire: su repercusión como problema de salud. </w:t>
      </w:r>
      <w:r w:rsidRPr="00D84329">
        <w:rPr>
          <w:rFonts w:ascii="Arial" w:hAnsi="Arial" w:cs="Arial"/>
          <w:i/>
          <w:sz w:val="24"/>
          <w:szCs w:val="24"/>
        </w:rPr>
        <w:t xml:space="preserve">Rev </w:t>
      </w:r>
      <w:proofErr w:type="spellStart"/>
      <w:r w:rsidRPr="00D84329">
        <w:rPr>
          <w:rFonts w:ascii="Arial" w:hAnsi="Arial" w:cs="Arial"/>
          <w:i/>
          <w:sz w:val="24"/>
          <w:szCs w:val="24"/>
        </w:rPr>
        <w:t>Cubana</w:t>
      </w:r>
      <w:proofErr w:type="spellEnd"/>
      <w:r w:rsidRPr="00D84329">
        <w:rPr>
          <w:rFonts w:ascii="Arial" w:hAnsi="Arial" w:cs="Arial"/>
          <w:i/>
          <w:sz w:val="24"/>
          <w:szCs w:val="24"/>
        </w:rPr>
        <w:t xml:space="preserve"> </w:t>
      </w:r>
      <w:proofErr w:type="spellStart"/>
      <w:r w:rsidRPr="00D84329">
        <w:rPr>
          <w:rFonts w:ascii="Arial" w:hAnsi="Arial" w:cs="Arial"/>
          <w:i/>
          <w:sz w:val="24"/>
          <w:szCs w:val="24"/>
        </w:rPr>
        <w:t>Hig</w:t>
      </w:r>
      <w:proofErr w:type="spellEnd"/>
      <w:r w:rsidRPr="00D84329">
        <w:rPr>
          <w:rFonts w:ascii="Arial" w:hAnsi="Arial" w:cs="Arial"/>
          <w:i/>
          <w:sz w:val="24"/>
          <w:szCs w:val="24"/>
        </w:rPr>
        <w:t xml:space="preserve"> </w:t>
      </w:r>
      <w:proofErr w:type="spellStart"/>
      <w:r w:rsidRPr="00D84329">
        <w:rPr>
          <w:rFonts w:ascii="Arial" w:hAnsi="Arial" w:cs="Arial"/>
          <w:i/>
          <w:sz w:val="24"/>
          <w:szCs w:val="24"/>
        </w:rPr>
        <w:t>Epidemiol</w:t>
      </w:r>
      <w:proofErr w:type="spellEnd"/>
      <w:r w:rsidRPr="00D84329">
        <w:rPr>
          <w:rFonts w:ascii="Arial" w:hAnsi="Arial" w:cs="Arial"/>
          <w:sz w:val="24"/>
          <w:szCs w:val="24"/>
        </w:rPr>
        <w:t>; 44(2).</w:t>
      </w:r>
    </w:p>
    <w:p w:rsidR="0036460A" w:rsidRPr="00D84329" w:rsidRDefault="0036460A" w:rsidP="0036460A">
      <w:pPr>
        <w:pStyle w:val="Text"/>
        <w:spacing w:line="240" w:lineRule="auto"/>
        <w:ind w:left="567" w:hanging="567"/>
        <w:rPr>
          <w:rFonts w:ascii="Arial" w:hAnsi="Arial" w:cs="Arial"/>
          <w:sz w:val="24"/>
          <w:szCs w:val="24"/>
        </w:rPr>
      </w:pPr>
    </w:p>
    <w:p w:rsidR="00017E5A" w:rsidRPr="00D84329" w:rsidRDefault="00F30DFC" w:rsidP="005D0900">
      <w:pPr>
        <w:jc w:val="center"/>
        <w:rPr>
          <w:sz w:val="24"/>
          <w:szCs w:val="24"/>
        </w:rPr>
      </w:pPr>
      <w:bookmarkStart w:id="0" w:name="_GoBack"/>
      <w:bookmarkEnd w:id="0"/>
    </w:p>
    <w:sectPr w:rsidR="00017E5A" w:rsidRPr="00D84329" w:rsidSect="00E1186A">
      <w:headerReference w:type="even" r:id="rId16"/>
      <w:headerReference w:type="default" r:id="rId17"/>
      <w:footerReference w:type="even" r:id="rId18"/>
      <w:headerReference w:type="first" r:id="rId19"/>
      <w:pgSz w:w="11906" w:h="16838" w:code="9"/>
      <w:pgMar w:top="1134" w:right="1418" w:bottom="1418" w:left="1418" w:header="1418"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60A" w:rsidRDefault="0036460A" w:rsidP="0036460A">
      <w:r>
        <w:separator/>
      </w:r>
    </w:p>
  </w:endnote>
  <w:endnote w:type="continuationSeparator" w:id="0">
    <w:p w:rsidR="0036460A" w:rsidRDefault="0036460A" w:rsidP="00364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333" w:rsidRPr="00D5225D" w:rsidRDefault="00565497" w:rsidP="004C6333">
    <w:pPr>
      <w:pStyle w:val="Ttulo5"/>
      <w:rPr>
        <w:color w:val="7F7F7F"/>
        <w:sz w:val="16"/>
        <w:szCs w:val="16"/>
      </w:rPr>
    </w:pPr>
    <w:r w:rsidRPr="00D5225D">
      <w:rPr>
        <w:color w:val="7F7F7F"/>
        <w:sz w:val="16"/>
        <w:szCs w:val="16"/>
      </w:rPr>
      <w:t>Enfoque UTE, Artículo sometido a revisión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60A" w:rsidRDefault="0036460A" w:rsidP="0036460A">
      <w:r>
        <w:separator/>
      </w:r>
    </w:p>
  </w:footnote>
  <w:footnote w:type="continuationSeparator" w:id="0">
    <w:p w:rsidR="0036460A" w:rsidRDefault="0036460A" w:rsidP="0036460A">
      <w:r>
        <w:continuationSeparator/>
      </w:r>
    </w:p>
  </w:footnote>
  <w:footnote w:id="1">
    <w:p w:rsidR="0036460A" w:rsidRDefault="0036460A" w:rsidP="0036460A">
      <w:pPr>
        <w:pStyle w:val="Textonotapie"/>
      </w:pPr>
      <w:r>
        <w:rPr>
          <w:rStyle w:val="Refdenotaalpie"/>
        </w:rPr>
        <w:footnoteRef/>
      </w:r>
      <w:r>
        <w:t xml:space="preserve"> </w:t>
      </w:r>
      <w:proofErr w:type="spellStart"/>
      <w:r w:rsidRPr="009550D2">
        <w:t>Citma</w:t>
      </w:r>
      <w:proofErr w:type="spellEnd"/>
      <w:r>
        <w:t>,</w:t>
      </w:r>
      <w:r w:rsidRPr="009550D2">
        <w:t xml:space="preserve"> V</w:t>
      </w:r>
      <w:r>
        <w:t xml:space="preserve">illa </w:t>
      </w:r>
      <w:r w:rsidRPr="009550D2">
        <w:t>C</w:t>
      </w:r>
      <w:r>
        <w:t>lara – Cuba (</w:t>
      </w:r>
      <w:r w:rsidRPr="009550D2">
        <w:t>juditgg@citmavcl.gob.cu</w:t>
      </w:r>
      <w:r>
        <w:t>).</w:t>
      </w:r>
      <w:r w:rsidRPr="009550D2">
        <w:t xml:space="preserve"> https://orcid.org/0000-0001-7525-2892</w:t>
      </w:r>
    </w:p>
  </w:footnote>
  <w:footnote w:id="2">
    <w:p w:rsidR="0036460A" w:rsidRPr="000527AA" w:rsidRDefault="0036460A" w:rsidP="0036460A">
      <w:pPr>
        <w:pStyle w:val="Textonotapie"/>
      </w:pPr>
      <w:r>
        <w:rPr>
          <w:rStyle w:val="Refdenotaalpie"/>
        </w:rPr>
        <w:footnoteRef/>
      </w:r>
      <w:r>
        <w:t xml:space="preserve"> </w:t>
      </w:r>
      <w:proofErr w:type="spellStart"/>
      <w:r w:rsidRPr="009550D2">
        <w:t>Citma</w:t>
      </w:r>
      <w:proofErr w:type="spellEnd"/>
      <w:r>
        <w:t>,</w:t>
      </w:r>
      <w:r w:rsidRPr="009550D2">
        <w:t xml:space="preserve"> V</w:t>
      </w:r>
      <w:r>
        <w:t xml:space="preserve">illa </w:t>
      </w:r>
      <w:r w:rsidRPr="009550D2">
        <w:t>C</w:t>
      </w:r>
      <w:r>
        <w:t xml:space="preserve">lara – </w:t>
      </w:r>
      <w:r w:rsidRPr="000527AA">
        <w:t>Cuba (</w:t>
      </w:r>
      <w:r w:rsidRPr="000527AA">
        <w:rPr>
          <w:lang w:val="es-419"/>
        </w:rPr>
        <w:t>pichardo</w:t>
      </w:r>
      <w:r w:rsidRPr="000527AA">
        <w:t>@citmavcl.gob.cu) https://orcid.org/0000-0002-5369-3432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sz w:val="16"/>
        <w:szCs w:val="16"/>
      </w:rPr>
      <w:id w:val="-460651395"/>
      <w:docPartObj>
        <w:docPartGallery w:val="Page Numbers (Top of Page)"/>
        <w:docPartUnique/>
      </w:docPartObj>
    </w:sdtPr>
    <w:sdtEndPr>
      <w:rPr>
        <w:noProof/>
      </w:rPr>
    </w:sdtEndPr>
    <w:sdtContent>
      <w:p w:rsidR="004C6333" w:rsidRPr="00D5225D" w:rsidRDefault="00565497" w:rsidP="00D5225D">
        <w:pPr>
          <w:pStyle w:val="Encabezado"/>
          <w:ind w:firstLine="0"/>
          <w:rPr>
            <w:color w:val="7F7F7F"/>
            <w:sz w:val="16"/>
            <w:szCs w:val="16"/>
          </w:rPr>
        </w:pPr>
        <w:r w:rsidRPr="00D5225D">
          <w:rPr>
            <w:color w:val="7F7F7F"/>
            <w:sz w:val="16"/>
            <w:szCs w:val="16"/>
          </w:rPr>
          <w:fldChar w:fldCharType="begin"/>
        </w:r>
        <w:r w:rsidRPr="00D5225D">
          <w:rPr>
            <w:color w:val="7F7F7F"/>
            <w:sz w:val="16"/>
            <w:szCs w:val="16"/>
          </w:rPr>
          <w:instrText xml:space="preserve"> PAGE   \* MERGEFORMAT </w:instrText>
        </w:r>
        <w:r w:rsidRPr="00D5225D">
          <w:rPr>
            <w:color w:val="7F7F7F"/>
            <w:sz w:val="16"/>
            <w:szCs w:val="16"/>
          </w:rPr>
          <w:fldChar w:fldCharType="separate"/>
        </w:r>
        <w:r>
          <w:rPr>
            <w:noProof/>
            <w:color w:val="7F7F7F"/>
            <w:sz w:val="16"/>
            <w:szCs w:val="16"/>
          </w:rPr>
          <w:t>8</w:t>
        </w:r>
        <w:r w:rsidRPr="00D5225D">
          <w:rPr>
            <w:noProof/>
            <w:color w:val="7F7F7F"/>
            <w:sz w:val="16"/>
            <w:szCs w:val="1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rPr>
      <w:id w:val="-2105876605"/>
      <w:docPartObj>
        <w:docPartGallery w:val="Page Numbers (Top of Page)"/>
        <w:docPartUnique/>
      </w:docPartObj>
    </w:sdtPr>
    <w:sdtEndPr>
      <w:rPr>
        <w:noProof/>
        <w:sz w:val="16"/>
        <w:szCs w:val="16"/>
      </w:rPr>
    </w:sdtEndPr>
    <w:sdtContent>
      <w:p w:rsidR="00725CFF" w:rsidRPr="00D5225D" w:rsidRDefault="00565497" w:rsidP="00D5225D">
        <w:pPr>
          <w:pStyle w:val="Encabezado"/>
          <w:tabs>
            <w:tab w:val="left" w:pos="8908"/>
            <w:tab w:val="right" w:pos="9638"/>
          </w:tabs>
          <w:ind w:firstLine="0"/>
          <w:jc w:val="right"/>
          <w:rPr>
            <w:color w:val="7F7F7F"/>
            <w:sz w:val="16"/>
            <w:szCs w:val="16"/>
          </w:rPr>
        </w:pPr>
        <w:r w:rsidRPr="00D5225D">
          <w:rPr>
            <w:rStyle w:val="Ttulo4Car"/>
            <w:color w:val="7F7F7F"/>
            <w:sz w:val="16"/>
            <w:szCs w:val="16"/>
          </w:rPr>
          <w:fldChar w:fldCharType="begin"/>
        </w:r>
        <w:r w:rsidRPr="00D5225D">
          <w:rPr>
            <w:rStyle w:val="Ttulo4Car"/>
            <w:color w:val="7F7F7F"/>
            <w:sz w:val="16"/>
            <w:szCs w:val="16"/>
          </w:rPr>
          <w:instrText xml:space="preserve"> PAGE   \* MERGEFORMAT </w:instrText>
        </w:r>
        <w:r w:rsidRPr="00D5225D">
          <w:rPr>
            <w:rStyle w:val="Ttulo4Car"/>
            <w:color w:val="7F7F7F"/>
            <w:sz w:val="16"/>
            <w:szCs w:val="16"/>
          </w:rPr>
          <w:fldChar w:fldCharType="separate"/>
        </w:r>
        <w:r w:rsidR="00F30DFC">
          <w:rPr>
            <w:rStyle w:val="Ttulo4Car"/>
            <w:noProof/>
            <w:color w:val="7F7F7F"/>
            <w:sz w:val="16"/>
            <w:szCs w:val="16"/>
          </w:rPr>
          <w:t>2</w:t>
        </w:r>
        <w:r w:rsidRPr="00D5225D">
          <w:rPr>
            <w:rStyle w:val="Ttulo4Car"/>
            <w:color w:val="7F7F7F"/>
            <w:sz w:val="16"/>
            <w:szCs w:val="16"/>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3495"/>
    </w:tblGrid>
    <w:tr w:rsidR="004C6333" w:rsidRPr="00D5225D" w:rsidTr="001B1CBB">
      <w:tc>
        <w:tcPr>
          <w:tcW w:w="6062" w:type="dxa"/>
        </w:tcPr>
        <w:p w:rsidR="00725CFF" w:rsidRPr="00D5225D" w:rsidRDefault="00F30DFC" w:rsidP="00C131AA">
          <w:pPr>
            <w:pStyle w:val="Ttulo3"/>
            <w:ind w:firstLine="0"/>
            <w:outlineLvl w:val="2"/>
            <w:rPr>
              <w:color w:val="7F7F7F"/>
              <w:sz w:val="16"/>
              <w:szCs w:val="16"/>
              <w:lang w:val="es-EC"/>
            </w:rPr>
          </w:pPr>
        </w:p>
      </w:tc>
      <w:tc>
        <w:tcPr>
          <w:tcW w:w="3792" w:type="dxa"/>
        </w:tcPr>
        <w:p w:rsidR="00725CFF" w:rsidRPr="00D5225D" w:rsidRDefault="00F30DFC" w:rsidP="008C7D18">
          <w:pPr>
            <w:jc w:val="right"/>
            <w:rPr>
              <w:color w:val="7F7F7F"/>
              <w:sz w:val="16"/>
              <w:szCs w:val="16"/>
            </w:rPr>
          </w:pPr>
        </w:p>
      </w:tc>
    </w:tr>
  </w:tbl>
  <w:p w:rsidR="00725CFF" w:rsidRPr="004D3565" w:rsidRDefault="00F30DFC" w:rsidP="00864F5A">
    <w:pPr>
      <w:pStyle w:val="Encabezado"/>
      <w:ind w:firstLine="0"/>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0A"/>
    <w:rsid w:val="000326C3"/>
    <w:rsid w:val="00095505"/>
    <w:rsid w:val="0036460A"/>
    <w:rsid w:val="00565497"/>
    <w:rsid w:val="005D0900"/>
    <w:rsid w:val="00A5015F"/>
    <w:rsid w:val="00B8310A"/>
    <w:rsid w:val="00D07A81"/>
    <w:rsid w:val="00D84329"/>
    <w:rsid w:val="00E1186A"/>
    <w:rsid w:val="00E90956"/>
    <w:rsid w:val="00F30DFC"/>
    <w:rsid w:val="00FA64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3B37B5-5E06-429C-855D-CCDED323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60A"/>
    <w:pPr>
      <w:spacing w:after="0" w:line="240" w:lineRule="auto"/>
      <w:ind w:firstLine="567"/>
      <w:jc w:val="both"/>
    </w:pPr>
    <w:rPr>
      <w:rFonts w:ascii="Arial" w:eastAsiaTheme="majorEastAsia" w:hAnsi="Arial" w:cs="Arial"/>
    </w:rPr>
  </w:style>
  <w:style w:type="paragraph" w:styleId="Ttulo1">
    <w:name w:val="heading 1"/>
    <w:basedOn w:val="Normal"/>
    <w:next w:val="Normal"/>
    <w:link w:val="Ttulo1Car"/>
    <w:uiPriority w:val="9"/>
    <w:qFormat/>
    <w:rsid w:val="0036460A"/>
    <w:pPr>
      <w:keepNext/>
      <w:keepLines/>
      <w:spacing w:before="240"/>
      <w:outlineLvl w:val="0"/>
    </w:pPr>
    <w:rPr>
      <w:rFonts w:asciiTheme="majorHAnsi" w:hAnsiTheme="majorHAnsi" w:cstheme="majorBidi"/>
      <w:color w:val="2E74B5" w:themeColor="accent1" w:themeShade="BF"/>
      <w:sz w:val="32"/>
      <w:szCs w:val="32"/>
    </w:rPr>
  </w:style>
  <w:style w:type="paragraph" w:styleId="Ttulo2">
    <w:name w:val="heading 2"/>
    <w:aliases w:val="Autores"/>
    <w:basedOn w:val="Normal"/>
    <w:next w:val="Normal"/>
    <w:link w:val="Ttulo2Car"/>
    <w:uiPriority w:val="9"/>
    <w:unhideWhenUsed/>
    <w:qFormat/>
    <w:rsid w:val="0036460A"/>
    <w:pPr>
      <w:jc w:val="center"/>
      <w:outlineLvl w:val="1"/>
    </w:pPr>
    <w:rPr>
      <w:lang w:val="en-US"/>
    </w:rPr>
  </w:style>
  <w:style w:type="paragraph" w:styleId="Ttulo3">
    <w:name w:val="heading 3"/>
    <w:aliases w:val="HeaderP1"/>
    <w:basedOn w:val="Normal"/>
    <w:next w:val="Normal"/>
    <w:link w:val="Ttulo3Car"/>
    <w:uiPriority w:val="9"/>
    <w:unhideWhenUsed/>
    <w:qFormat/>
    <w:rsid w:val="0036460A"/>
    <w:pPr>
      <w:jc w:val="left"/>
      <w:outlineLvl w:val="2"/>
    </w:pPr>
    <w:rPr>
      <w:sz w:val="20"/>
      <w:szCs w:val="20"/>
    </w:rPr>
  </w:style>
  <w:style w:type="paragraph" w:styleId="Ttulo4">
    <w:name w:val="heading 4"/>
    <w:aliases w:val="HeaderP2"/>
    <w:basedOn w:val="Encabezado"/>
    <w:next w:val="Normal"/>
    <w:link w:val="Ttulo4Car"/>
    <w:uiPriority w:val="9"/>
    <w:unhideWhenUsed/>
    <w:qFormat/>
    <w:rsid w:val="0036460A"/>
    <w:pPr>
      <w:jc w:val="right"/>
      <w:outlineLvl w:val="3"/>
    </w:pPr>
    <w:rPr>
      <w:sz w:val="20"/>
      <w:szCs w:val="20"/>
    </w:rPr>
  </w:style>
  <w:style w:type="paragraph" w:styleId="Ttulo5">
    <w:name w:val="heading 5"/>
    <w:aliases w:val="FooterP2"/>
    <w:basedOn w:val="Piedepgina"/>
    <w:next w:val="Normal"/>
    <w:link w:val="Ttulo5Car"/>
    <w:uiPriority w:val="9"/>
    <w:unhideWhenUsed/>
    <w:qFormat/>
    <w:rsid w:val="0036460A"/>
    <w:pPr>
      <w:jc w:val="center"/>
      <w:outlineLvl w:val="4"/>
    </w:pPr>
    <w:rPr>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Autores Car"/>
    <w:basedOn w:val="Fuentedeprrafopredeter"/>
    <w:link w:val="Ttulo2"/>
    <w:uiPriority w:val="9"/>
    <w:rsid w:val="0036460A"/>
    <w:rPr>
      <w:rFonts w:ascii="Arial" w:eastAsiaTheme="majorEastAsia" w:hAnsi="Arial" w:cs="Arial"/>
      <w:lang w:val="en-US"/>
    </w:rPr>
  </w:style>
  <w:style w:type="character" w:customStyle="1" w:styleId="Ttulo3Car">
    <w:name w:val="Título 3 Car"/>
    <w:aliases w:val="HeaderP1 Car"/>
    <w:basedOn w:val="Fuentedeprrafopredeter"/>
    <w:link w:val="Ttulo3"/>
    <w:uiPriority w:val="9"/>
    <w:rsid w:val="0036460A"/>
    <w:rPr>
      <w:rFonts w:ascii="Arial" w:eastAsiaTheme="majorEastAsia" w:hAnsi="Arial" w:cs="Arial"/>
      <w:sz w:val="20"/>
      <w:szCs w:val="20"/>
    </w:rPr>
  </w:style>
  <w:style w:type="character" w:customStyle="1" w:styleId="Ttulo4Car">
    <w:name w:val="Título 4 Car"/>
    <w:aliases w:val="HeaderP2 Car"/>
    <w:basedOn w:val="Fuentedeprrafopredeter"/>
    <w:link w:val="Ttulo4"/>
    <w:uiPriority w:val="9"/>
    <w:rsid w:val="0036460A"/>
    <w:rPr>
      <w:rFonts w:ascii="Arial" w:eastAsiaTheme="majorEastAsia" w:hAnsi="Arial" w:cs="Arial"/>
      <w:sz w:val="20"/>
      <w:szCs w:val="20"/>
    </w:rPr>
  </w:style>
  <w:style w:type="character" w:customStyle="1" w:styleId="Ttulo5Car">
    <w:name w:val="Título 5 Car"/>
    <w:aliases w:val="FooterP2 Car"/>
    <w:basedOn w:val="Fuentedeprrafopredeter"/>
    <w:link w:val="Ttulo5"/>
    <w:uiPriority w:val="9"/>
    <w:rsid w:val="0036460A"/>
    <w:rPr>
      <w:rFonts w:ascii="Arial" w:eastAsiaTheme="majorEastAsia" w:hAnsi="Arial" w:cs="Arial"/>
      <w:i/>
      <w:sz w:val="20"/>
      <w:szCs w:val="20"/>
    </w:rPr>
  </w:style>
  <w:style w:type="paragraph" w:styleId="Encabezado">
    <w:name w:val="header"/>
    <w:basedOn w:val="Normal"/>
    <w:link w:val="EncabezadoCar"/>
    <w:uiPriority w:val="99"/>
    <w:unhideWhenUsed/>
    <w:rsid w:val="0036460A"/>
    <w:pPr>
      <w:tabs>
        <w:tab w:val="center" w:pos="4252"/>
        <w:tab w:val="right" w:pos="8504"/>
      </w:tabs>
    </w:pPr>
  </w:style>
  <w:style w:type="character" w:customStyle="1" w:styleId="EncabezadoCar">
    <w:name w:val="Encabezado Car"/>
    <w:basedOn w:val="Fuentedeprrafopredeter"/>
    <w:link w:val="Encabezado"/>
    <w:uiPriority w:val="99"/>
    <w:rsid w:val="0036460A"/>
    <w:rPr>
      <w:rFonts w:ascii="Arial" w:eastAsiaTheme="majorEastAsia" w:hAnsi="Arial" w:cs="Arial"/>
    </w:rPr>
  </w:style>
  <w:style w:type="paragraph" w:styleId="Sinespaciado">
    <w:name w:val="No Spacing"/>
    <w:aliases w:val="Resumen"/>
    <w:basedOn w:val="Normal"/>
    <w:link w:val="SinespaciadoCar"/>
    <w:uiPriority w:val="1"/>
    <w:qFormat/>
    <w:rsid w:val="0036460A"/>
    <w:pPr>
      <w:spacing w:line="276" w:lineRule="auto"/>
      <w:ind w:left="567" w:right="566"/>
    </w:pPr>
    <w:rPr>
      <w:sz w:val="20"/>
      <w:szCs w:val="20"/>
    </w:rPr>
  </w:style>
  <w:style w:type="character" w:customStyle="1" w:styleId="SinespaciadoCar">
    <w:name w:val="Sin espaciado Car"/>
    <w:aliases w:val="Resumen Car"/>
    <w:basedOn w:val="Fuentedeprrafopredeter"/>
    <w:link w:val="Sinespaciado"/>
    <w:uiPriority w:val="1"/>
    <w:rsid w:val="0036460A"/>
    <w:rPr>
      <w:rFonts w:ascii="Arial" w:eastAsiaTheme="majorEastAsia" w:hAnsi="Arial" w:cs="Arial"/>
      <w:sz w:val="20"/>
      <w:szCs w:val="20"/>
    </w:rPr>
  </w:style>
  <w:style w:type="table" w:styleId="Tablaconcuadrcula">
    <w:name w:val="Table Grid"/>
    <w:basedOn w:val="Tablanormal"/>
    <w:uiPriority w:val="59"/>
    <w:rsid w:val="0036460A"/>
    <w:pPr>
      <w:spacing w:after="0" w:line="240" w:lineRule="auto"/>
      <w:ind w:firstLine="567"/>
      <w:jc w:val="both"/>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Ttulo1"/>
    <w:next w:val="Normal"/>
    <w:link w:val="PuestoCar"/>
    <w:uiPriority w:val="10"/>
    <w:qFormat/>
    <w:rsid w:val="0036460A"/>
    <w:pPr>
      <w:keepNext w:val="0"/>
      <w:keepLines w:val="0"/>
      <w:spacing w:before="0" w:after="240" w:line="276" w:lineRule="auto"/>
      <w:ind w:left="567" w:right="566"/>
      <w:jc w:val="center"/>
    </w:pPr>
    <w:rPr>
      <w:rFonts w:ascii="Arial" w:hAnsi="Arial" w:cs="Arial"/>
      <w:b/>
      <w:color w:val="auto"/>
      <w:sz w:val="28"/>
      <w:szCs w:val="28"/>
      <w:lang w:val="en-US"/>
    </w:rPr>
  </w:style>
  <w:style w:type="character" w:customStyle="1" w:styleId="PuestoCar">
    <w:name w:val="Puesto Car"/>
    <w:basedOn w:val="Fuentedeprrafopredeter"/>
    <w:link w:val="Puesto"/>
    <w:uiPriority w:val="10"/>
    <w:rsid w:val="0036460A"/>
    <w:rPr>
      <w:rFonts w:ascii="Arial" w:eastAsiaTheme="majorEastAsia" w:hAnsi="Arial" w:cs="Arial"/>
      <w:b/>
      <w:sz w:val="28"/>
      <w:szCs w:val="28"/>
      <w:lang w:val="en-US"/>
    </w:rPr>
  </w:style>
  <w:style w:type="paragraph" w:styleId="Textonotapie">
    <w:name w:val="footnote text"/>
    <w:basedOn w:val="Normal"/>
    <w:link w:val="TextonotapieCar"/>
    <w:uiPriority w:val="99"/>
    <w:unhideWhenUsed/>
    <w:rsid w:val="0036460A"/>
    <w:pPr>
      <w:ind w:firstLine="0"/>
    </w:pPr>
    <w:rPr>
      <w:sz w:val="20"/>
      <w:szCs w:val="20"/>
    </w:rPr>
  </w:style>
  <w:style w:type="character" w:customStyle="1" w:styleId="TextonotapieCar">
    <w:name w:val="Texto nota pie Car"/>
    <w:basedOn w:val="Fuentedeprrafopredeter"/>
    <w:link w:val="Textonotapie"/>
    <w:uiPriority w:val="99"/>
    <w:rsid w:val="0036460A"/>
    <w:rPr>
      <w:rFonts w:ascii="Arial" w:eastAsiaTheme="majorEastAsia" w:hAnsi="Arial" w:cs="Arial"/>
      <w:sz w:val="20"/>
      <w:szCs w:val="20"/>
    </w:rPr>
  </w:style>
  <w:style w:type="character" w:styleId="Refdenotaalpie">
    <w:name w:val="footnote reference"/>
    <w:basedOn w:val="Fuentedeprrafopredeter"/>
    <w:uiPriority w:val="99"/>
    <w:semiHidden/>
    <w:unhideWhenUsed/>
    <w:rsid w:val="0036460A"/>
    <w:rPr>
      <w:vertAlign w:val="superscript"/>
    </w:rPr>
  </w:style>
  <w:style w:type="character" w:customStyle="1" w:styleId="apple-style-span">
    <w:name w:val="apple-style-span"/>
    <w:basedOn w:val="Fuentedeprrafopredeter"/>
    <w:rsid w:val="0036460A"/>
  </w:style>
  <w:style w:type="paragraph" w:customStyle="1" w:styleId="Text">
    <w:name w:val="Text"/>
    <w:basedOn w:val="Normal"/>
    <w:rsid w:val="0036460A"/>
    <w:pPr>
      <w:widowControl w:val="0"/>
      <w:suppressAutoHyphens/>
      <w:spacing w:line="252" w:lineRule="auto"/>
      <w:ind w:firstLine="240"/>
    </w:pPr>
    <w:rPr>
      <w:rFonts w:ascii="Times New Roman" w:eastAsia="Times New Roman" w:hAnsi="Times New Roman" w:cs="Times New Roman"/>
      <w:sz w:val="20"/>
      <w:szCs w:val="20"/>
      <w:lang w:val="en-US" w:eastAsia="ar-SA"/>
    </w:rPr>
  </w:style>
  <w:style w:type="paragraph" w:styleId="Piedepgina">
    <w:name w:val="footer"/>
    <w:basedOn w:val="Normal"/>
    <w:link w:val="PiedepginaCar"/>
    <w:uiPriority w:val="99"/>
    <w:unhideWhenUsed/>
    <w:rsid w:val="0036460A"/>
    <w:pPr>
      <w:tabs>
        <w:tab w:val="center" w:pos="4252"/>
        <w:tab w:val="right" w:pos="8504"/>
      </w:tabs>
    </w:pPr>
  </w:style>
  <w:style w:type="character" w:customStyle="1" w:styleId="PiedepginaCar">
    <w:name w:val="Pie de página Car"/>
    <w:basedOn w:val="Fuentedeprrafopredeter"/>
    <w:link w:val="Piedepgina"/>
    <w:uiPriority w:val="99"/>
    <w:rsid w:val="0036460A"/>
    <w:rPr>
      <w:rFonts w:ascii="Arial" w:eastAsiaTheme="majorEastAsia" w:hAnsi="Arial" w:cs="Arial"/>
    </w:rPr>
  </w:style>
  <w:style w:type="character" w:customStyle="1" w:styleId="Ttulo1Car">
    <w:name w:val="Título 1 Car"/>
    <w:basedOn w:val="Fuentedeprrafopredeter"/>
    <w:link w:val="Ttulo1"/>
    <w:uiPriority w:val="9"/>
    <w:rsid w:val="0036460A"/>
    <w:rPr>
      <w:rFonts w:asciiTheme="majorHAnsi" w:eastAsiaTheme="majorEastAsia" w:hAnsiTheme="majorHAnsi" w:cstheme="majorBidi"/>
      <w:color w:val="2E74B5" w:themeColor="accent1" w:themeShade="BF"/>
      <w:sz w:val="32"/>
      <w:szCs w:val="32"/>
    </w:rPr>
  </w:style>
  <w:style w:type="character" w:customStyle="1" w:styleId="fontstyle01">
    <w:name w:val="fontstyle01"/>
    <w:basedOn w:val="Fuentedeprrafopredeter"/>
    <w:rsid w:val="00B8310A"/>
    <w:rPr>
      <w:rFonts w:ascii="Arial" w:hAnsi="Arial" w:cs="Arial"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2E3E2-AF6A-4242-98C5-65460CBB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3865</Words>
  <Characters>21261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García González</dc:creator>
  <cp:keywords/>
  <dc:description/>
  <cp:lastModifiedBy>Yanosky</cp:lastModifiedBy>
  <cp:revision>4</cp:revision>
  <dcterms:created xsi:type="dcterms:W3CDTF">2023-05-15T09:17:00Z</dcterms:created>
  <dcterms:modified xsi:type="dcterms:W3CDTF">2023-05-15T09:25:00Z</dcterms:modified>
</cp:coreProperties>
</file>