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42B3" w14:textId="77777777" w:rsidR="00801B11" w:rsidRDefault="00000000">
      <w:pPr>
        <w:pStyle w:val="NormalWeb"/>
      </w:pPr>
      <w:r>
        <w:rPr>
          <w:rFonts w:ascii="Bookman Old Style" w:hAnsi="Bookman Old Style" w:cs="Arial"/>
          <w:b/>
          <w:bCs/>
          <w:color w:val="000000"/>
          <w:spacing w:val="2"/>
          <w:lang w:val="es-US" w:eastAsia="es-US"/>
        </w:rPr>
        <w:t xml:space="preserve">            </w:t>
      </w:r>
    </w:p>
    <w:p w14:paraId="21D99DE1" w14:textId="77777777" w:rsidR="00801B11" w:rsidRDefault="00000000">
      <w:pPr>
        <w:shd w:val="clear" w:color="auto" w:fill="FDFDFD"/>
        <w:tabs>
          <w:tab w:val="center" w:pos="3782"/>
        </w:tabs>
        <w:spacing w:before="165" w:after="0" w:line="240" w:lineRule="auto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</w:pPr>
      <w:r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US" w:eastAsia="es-US"/>
        </w:rPr>
        <w:t xml:space="preserve">                                             </w:t>
      </w:r>
      <w:r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  <w:t>CONVOCATORIA</w:t>
      </w:r>
    </w:p>
    <w:p w14:paraId="348A73D7" w14:textId="77777777" w:rsidR="00801B11" w:rsidRDefault="00000000">
      <w:pPr>
        <w:shd w:val="clear" w:color="auto" w:fill="FDFDFD"/>
        <w:tabs>
          <w:tab w:val="center" w:pos="3782"/>
        </w:tabs>
        <w:spacing w:before="165"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</w:pPr>
      <w:r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  <w:t>(Primer aviso)</w:t>
      </w:r>
    </w:p>
    <w:p w14:paraId="3E8AD44D" w14:textId="77777777" w:rsidR="00801B11" w:rsidRDefault="00801B11">
      <w:pPr>
        <w:shd w:val="clear" w:color="auto" w:fill="FDFDFD"/>
        <w:tabs>
          <w:tab w:val="center" w:pos="3782"/>
        </w:tabs>
        <w:spacing w:before="165"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</w:pPr>
    </w:p>
    <w:p w14:paraId="6EFF559A" w14:textId="77777777" w:rsidR="00801B11" w:rsidRDefault="00000000">
      <w:pPr>
        <w:pStyle w:val="Default"/>
        <w:jc w:val="center"/>
        <w:rPr>
          <w:rFonts w:ascii="Bookman Old Style" w:eastAsia="Times New Roman" w:hAnsi="Bookman Old Style"/>
          <w:b/>
          <w:bCs/>
          <w:i/>
          <w:iCs/>
          <w:spacing w:val="2"/>
          <w:lang w:val="es-US" w:eastAsia="es-US"/>
        </w:rPr>
      </w:pPr>
      <w:r>
        <w:rPr>
          <w:rFonts w:ascii="Bookman Old Style" w:eastAsia="Times New Roman" w:hAnsi="Bookman Old Style"/>
          <w:b/>
          <w:bCs/>
          <w:i/>
          <w:iCs/>
          <w:spacing w:val="2"/>
          <w:lang w:val="es-US" w:eastAsia="es-US"/>
        </w:rPr>
        <w:t xml:space="preserve">EL CENTRO DE ESTUDIOS DE ADMINISTRACIÓN PÚBLICA DE LA UNIVERSIDAD DE LA HABANA Y LA RED DE ADMINISTRACIÓN PÚBLICA </w:t>
      </w:r>
    </w:p>
    <w:p w14:paraId="5483E7A9" w14:textId="77777777" w:rsidR="00801B11" w:rsidRDefault="00000000">
      <w:pPr>
        <w:shd w:val="clear" w:color="auto" w:fill="FDFDFD"/>
        <w:spacing w:before="165"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</w:pPr>
      <w:r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  <w:t>CONVOCAN:</w:t>
      </w:r>
    </w:p>
    <w:p w14:paraId="635B1BD4" w14:textId="77777777" w:rsidR="00801B11" w:rsidRDefault="00801B11">
      <w:pPr>
        <w:shd w:val="clear" w:color="auto" w:fill="FDFDFD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US" w:eastAsia="es-US"/>
        </w:rPr>
      </w:pPr>
    </w:p>
    <w:p w14:paraId="39478143" w14:textId="77777777" w:rsidR="00801B11" w:rsidRDefault="00000000">
      <w:pPr>
        <w:jc w:val="center"/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</w:pPr>
      <w:r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  <w:t>XI TALLER INTERNACIONAL DE ADMINISTRACIÓN PÚBLICA</w:t>
      </w:r>
    </w:p>
    <w:p w14:paraId="0736BABD" w14:textId="77777777" w:rsidR="00801B11" w:rsidRDefault="000000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El Centro de Estudios de la Administración Pública de la Universidad de La Habana y </w:t>
      </w:r>
      <w:r>
        <w:rPr>
          <w:rFonts w:ascii="Arial" w:eastAsia="Arial" w:hAnsi="Arial" w:cs="Arial"/>
          <w:sz w:val="24"/>
          <w:szCs w:val="24"/>
        </w:rPr>
        <w:t xml:space="preserve">la Red de Administración Pública, en el marco de la Convención Científica Internacional Saber UH, </w:t>
      </w:r>
      <w:r>
        <w:rPr>
          <w:rStyle w:val="markedcontent"/>
          <w:rFonts w:ascii="Arial" w:hAnsi="Arial" w:cs="Arial"/>
          <w:sz w:val="24"/>
          <w:szCs w:val="24"/>
        </w:rPr>
        <w:t xml:space="preserve">con el objetivo de promover el conocimiento,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propiciar el análisis, reflexión y debate</w:t>
      </w:r>
      <w:r>
        <w:rPr>
          <w:rStyle w:val="markedcontent"/>
          <w:rFonts w:ascii="Arial" w:hAnsi="Arial" w:cs="Arial"/>
          <w:sz w:val="24"/>
          <w:szCs w:val="24"/>
        </w:rPr>
        <w:t xml:space="preserve"> sobre la efectividad en la organización y actuación de la administración pública,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correspondencia con el cumplimiento de los Objetivos de Desarrollo Sostenible hasta el 2030 y la actualización del modelo de desarrollo económico y social cubano,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les convoca a participar en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MX" w:eastAsia="es-MX"/>
        </w:rPr>
        <w:t>XI Taller Internacional de Administración Pública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; que se realizará el </w:t>
      </w:r>
      <w:r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 xml:space="preserve">27 y 28 de mayo de 2025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en el Centro de Convenciones de la Universidad de La Habana, contando con el coauspicio de diferentes instituciones y otros actores. El tema central del encuentro será: </w:t>
      </w:r>
    </w:p>
    <w:p w14:paraId="59A69E81" w14:textId="77777777" w:rsidR="00801B11" w:rsidRDefault="00801B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81B9D64" w14:textId="77777777" w:rsidR="00801B11" w:rsidRDefault="0000000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“LA ADMINISTRACIÓN PÚBLICA DE HOY MIRANDO AL FUTURO”</w:t>
      </w:r>
    </w:p>
    <w:p w14:paraId="06720011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Podrán participar profesores, investigadores, estudiantes, servidores públicos, actores económicos, entre otros.</w:t>
      </w:r>
    </w:p>
    <w:p w14:paraId="5E792D84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D41AA2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presentarán estudios que tributen a las siguientes temáticas: </w:t>
      </w:r>
    </w:p>
    <w:p w14:paraId="090EB875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Gobernanza e Innovación Pública.</w:t>
      </w:r>
    </w:p>
    <w:p w14:paraId="14C720CC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Políticas públicas y Derecho. </w:t>
      </w:r>
    </w:p>
    <w:p w14:paraId="3641DFBE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Alianza pública – privada desde enfoque innovador.</w:t>
      </w:r>
    </w:p>
    <w:p w14:paraId="18314741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Eficiencia y eficacia como principios de la Administración Pública.</w:t>
      </w:r>
    </w:p>
    <w:p w14:paraId="35874A2D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transparencia en el accionar administrativo.</w:t>
      </w:r>
    </w:p>
    <w:p w14:paraId="223577B7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gestión de la calidad para un servicio público eficaz.</w:t>
      </w:r>
    </w:p>
    <w:p w14:paraId="783E7960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infocomunicación como proceso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tranversalizador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la función pública. </w:t>
      </w:r>
    </w:p>
    <w:p w14:paraId="0FC3462C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Economía, contabilidad y finanzas pública. </w:t>
      </w:r>
    </w:p>
    <w:p w14:paraId="5167C7D8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Ejes de la transformación digital en la administración pública (procesos, tecnologías y servidores públicos).</w:t>
      </w:r>
    </w:p>
    <w:p w14:paraId="156A9CB6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Habilidades directivas en el sector público.</w:t>
      </w:r>
    </w:p>
    <w:p w14:paraId="360AB388" w14:textId="77777777" w:rsidR="00801B11" w:rsidRDefault="00801B11">
      <w:pPr>
        <w:pStyle w:val="Prrafodelista"/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9631D6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importante actividad científica incluirá la presentación de conferencias magistrales por parte de reconocidas personalidades del ámbito académico; paneles científicos; y la presentación de ponencias que se presentarán en sesión plenaria y comisiones.</w:t>
      </w:r>
    </w:p>
    <w:p w14:paraId="4402B8E2" w14:textId="77777777" w:rsidR="00801B11" w:rsidRDefault="00801B11">
      <w:pPr>
        <w:jc w:val="both"/>
        <w:rPr>
          <w:rFonts w:ascii="Arial" w:eastAsia="Arial" w:hAnsi="Arial" w:cs="Arial"/>
          <w:sz w:val="24"/>
          <w:szCs w:val="24"/>
        </w:rPr>
      </w:pPr>
    </w:p>
    <w:p w14:paraId="377B7D49" w14:textId="77777777" w:rsidR="00801B11" w:rsidRDefault="00801B11">
      <w:pPr>
        <w:jc w:val="both"/>
        <w:rPr>
          <w:rFonts w:ascii="Arial" w:eastAsia="Arial" w:hAnsi="Arial" w:cs="Arial"/>
          <w:sz w:val="24"/>
          <w:szCs w:val="24"/>
        </w:rPr>
      </w:pPr>
    </w:p>
    <w:p w14:paraId="1782226D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marco del XI Taller Internacional de Administración Pública, se realizará la </w:t>
      </w:r>
      <w:r>
        <w:rPr>
          <w:rFonts w:ascii="Arial" w:eastAsia="Arial" w:hAnsi="Arial" w:cs="Arial"/>
          <w:b/>
          <w:bCs/>
          <w:sz w:val="24"/>
          <w:szCs w:val="24"/>
        </w:rPr>
        <w:t>Jornada Científico-Estudiantil</w:t>
      </w:r>
      <w:r>
        <w:rPr>
          <w:rFonts w:ascii="Arial" w:eastAsia="Arial" w:hAnsi="Arial" w:cs="Arial"/>
          <w:sz w:val="24"/>
          <w:szCs w:val="24"/>
        </w:rPr>
        <w:t xml:space="preserve"> que sesionará el día </w:t>
      </w:r>
      <w:r>
        <w:rPr>
          <w:rFonts w:ascii="Arial" w:eastAsia="Arial" w:hAnsi="Arial" w:cs="Arial"/>
          <w:b/>
          <w:bCs/>
          <w:sz w:val="24"/>
          <w:szCs w:val="24"/>
        </w:rPr>
        <w:t>28 de mayo</w:t>
      </w:r>
      <w:r>
        <w:rPr>
          <w:rFonts w:ascii="Arial" w:eastAsia="Arial" w:hAnsi="Arial" w:cs="Arial"/>
          <w:sz w:val="24"/>
          <w:szCs w:val="24"/>
        </w:rPr>
        <w:t xml:space="preserve">; esta Jornada se organiza a través de la Sección Científica Estudiantil adscrita a la REDAP; podrán inscribirse estudiantes, profesores e investigadores y todos los interesados de la Universidad de La Habana, otras universidades cubanas y extranjeras. </w:t>
      </w:r>
    </w:p>
    <w:p w14:paraId="766F7F52" w14:textId="77777777" w:rsidR="00801B11" w:rsidRDefault="00000000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propuestas de ponencias serán recibidas hasta el </w:t>
      </w:r>
      <w:r>
        <w:rPr>
          <w:rFonts w:ascii="Arial" w:eastAsia="Arial" w:hAnsi="Arial" w:cs="Arial"/>
          <w:b/>
          <w:bCs/>
          <w:sz w:val="24"/>
          <w:szCs w:val="24"/>
        </w:rPr>
        <w:t>10 de marzo de 2025</w:t>
      </w:r>
      <w:r>
        <w:rPr>
          <w:rFonts w:ascii="Arial" w:eastAsia="Arial" w:hAnsi="Arial" w:cs="Arial"/>
          <w:sz w:val="24"/>
          <w:szCs w:val="24"/>
        </w:rPr>
        <w:t xml:space="preserve"> y deben incluir los datos que se relacionan a continuación:</w:t>
      </w:r>
    </w:p>
    <w:p w14:paraId="2E7450D2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del trabajo.</w:t>
      </w:r>
    </w:p>
    <w:p w14:paraId="3F4D4EA6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apellidos (Todos los autores)</w:t>
      </w:r>
    </w:p>
    <w:p w14:paraId="13CEFF4A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(Todos los autores)</w:t>
      </w:r>
    </w:p>
    <w:p w14:paraId="07246A37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Código </w:t>
      </w:r>
      <w:proofErr w:type="spellStart"/>
      <w:r>
        <w:rPr>
          <w:rFonts w:ascii="Arial" w:eastAsia="Arial" w:hAnsi="Arial" w:cs="Arial"/>
          <w:sz w:val="24"/>
          <w:szCs w:val="24"/>
        </w:rPr>
        <w:t>Orcid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(Todos los autores)</w:t>
      </w:r>
    </w:p>
    <w:p w14:paraId="1B0B7987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Indicar autor para la comunicación.</w:t>
      </w:r>
    </w:p>
    <w:p w14:paraId="2241F6B4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(Facultad, Centro de Estudio, Instituto)</w:t>
      </w:r>
    </w:p>
    <w:p w14:paraId="57A215E1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Condición. Profesor __ Investigador __ Estudiante ___ Otro __</w:t>
      </w:r>
    </w:p>
    <w:p w14:paraId="002E4550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Trabajo (de no trabajar en la Educación Superior)</w:t>
      </w:r>
    </w:p>
    <w:p w14:paraId="0A25C91C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Teléfono.                             </w:t>
      </w:r>
    </w:p>
    <w:p w14:paraId="66A0EFBE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Resumen (Hasta 250 palabras).</w:t>
      </w:r>
    </w:p>
    <w:p w14:paraId="471A398F" w14:textId="77777777" w:rsidR="00801B11" w:rsidRDefault="00801B11">
      <w:pPr>
        <w:pStyle w:val="Prrafodelist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1F02EE" w14:textId="77777777" w:rsidR="00801B11" w:rsidRDefault="00000000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Normas de presentación de las ponencias</w:t>
      </w:r>
    </w:p>
    <w:p w14:paraId="44C05873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ponencias deben ser originales y estarán estructuradas en: resumen, introducción, materiales y métodos, resultados, discusión, conclusiones y referencias bibliográficas. Los resúmenes tendrán una extensión de 200-250 palabras, hasta cinco palabras claves y se presentarán en idioma español e inglés, Las ponencias deberán estar escritas en el procesador de texto Microsoft Word 2003 o superior, hoja tipo carta (8 ½ x 11), a un espacio entre líneas, fuente Arial-12, con espacio entre párrafos de 0.6 puntos y márgenes de 2.0 cm a cada lado, sin sangrías, tabuladores o cualquier otro atributo de diseño. Tendrán como máximo 15 cuartillas, incluyendo tablas, gráficos y figuras. Se utilizará el estilo bibliográfico APA (7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ma </w:t>
      </w:r>
      <w:r>
        <w:rPr>
          <w:rFonts w:ascii="Arial" w:eastAsia="Arial" w:hAnsi="Arial" w:cs="Arial"/>
          <w:sz w:val="24"/>
          <w:szCs w:val="24"/>
        </w:rPr>
        <w:t xml:space="preserve">edición) para el asentamiento de las referencias bibliográficas. </w:t>
      </w:r>
    </w:p>
    <w:p w14:paraId="220E1483" w14:textId="163B9188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cada presentación podrá derivarse un artículo que formará parte de un libro con las memorias de esta actividad científica. Para realizar el envío de las ponencias </w:t>
      </w:r>
      <w:r w:rsidR="003F1296">
        <w:rPr>
          <w:rFonts w:ascii="Arial" w:eastAsia="Arial" w:hAnsi="Arial" w:cs="Arial"/>
          <w:sz w:val="24"/>
          <w:szCs w:val="24"/>
        </w:rPr>
        <w:t>deben acceder a</w:t>
      </w:r>
      <w:r>
        <w:rPr>
          <w:rFonts w:ascii="Arial" w:eastAsia="Arial" w:hAnsi="Arial" w:cs="Arial"/>
          <w:sz w:val="24"/>
          <w:szCs w:val="24"/>
        </w:rPr>
        <w:t xml:space="preserve"> registrarse en la plataforma de eventos de la Universidad de La Habana (Indico), a través del siguiente link </w:t>
      </w:r>
      <w:hyperlink r:id="rId7" w:history="1">
        <w:r>
          <w:rPr>
            <w:rStyle w:val="Hipervnculo"/>
            <w:rFonts w:ascii="Arial" w:eastAsia="Arial" w:hAnsi="Arial" w:cs="Arial"/>
            <w:sz w:val="24"/>
            <w:szCs w:val="24"/>
          </w:rPr>
          <w:t>https://eventos.uh.cu</w:t>
        </w:r>
      </w:hyperlink>
    </w:p>
    <w:p w14:paraId="1135AC2D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Modalidad: </w:t>
      </w:r>
      <w:r>
        <w:rPr>
          <w:rFonts w:ascii="Arial" w:eastAsia="Arial" w:hAnsi="Arial" w:cs="Arial"/>
          <w:sz w:val="24"/>
          <w:szCs w:val="24"/>
        </w:rPr>
        <w:t xml:space="preserve">El Taller se desarrollará en las modalidades presencial y virtual. </w:t>
      </w:r>
    </w:p>
    <w:p w14:paraId="531AF1DE" w14:textId="77777777" w:rsidR="00801B11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Fechas importantes</w:t>
      </w:r>
      <w:r>
        <w:rPr>
          <w:rFonts w:ascii="Arial" w:eastAsia="Arial" w:hAnsi="Arial" w:cs="Arial"/>
          <w:sz w:val="24"/>
          <w:szCs w:val="24"/>
        </w:rPr>
        <w:br/>
        <w:t xml:space="preserve">Fecha límite para envío de resumen y de inscripción: </w:t>
      </w:r>
      <w:r>
        <w:rPr>
          <w:rFonts w:ascii="Arial" w:eastAsia="Arial" w:hAnsi="Arial" w:cs="Arial"/>
          <w:b/>
          <w:bCs/>
          <w:sz w:val="24"/>
          <w:szCs w:val="24"/>
        </w:rPr>
        <w:t>10 de marzo 2025</w:t>
      </w:r>
      <w:r>
        <w:rPr>
          <w:rFonts w:ascii="Arial" w:eastAsia="Arial" w:hAnsi="Arial" w:cs="Arial"/>
          <w:sz w:val="24"/>
          <w:szCs w:val="24"/>
        </w:rPr>
        <w:br/>
        <w:t xml:space="preserve">Notificación de aceptación de trabajos: </w:t>
      </w:r>
      <w:r>
        <w:rPr>
          <w:rFonts w:ascii="Arial" w:eastAsia="Arial" w:hAnsi="Arial" w:cs="Arial"/>
          <w:b/>
          <w:bCs/>
          <w:sz w:val="24"/>
          <w:szCs w:val="24"/>
        </w:rPr>
        <w:t>12 de abril 2025</w:t>
      </w:r>
      <w:r>
        <w:rPr>
          <w:rFonts w:ascii="Arial" w:eastAsia="Arial" w:hAnsi="Arial" w:cs="Arial"/>
          <w:sz w:val="24"/>
          <w:szCs w:val="24"/>
        </w:rPr>
        <w:br/>
      </w:r>
    </w:p>
    <w:p w14:paraId="4BBDC257" w14:textId="77777777" w:rsidR="00801B11" w:rsidRDefault="00801B1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9D564A3" w14:textId="77777777" w:rsidR="00801B11" w:rsidRDefault="00801B1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A82A3AC" w14:textId="77777777" w:rsidR="00801B11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límite para pago de la cuota de inscripción: </w:t>
      </w:r>
      <w:r>
        <w:rPr>
          <w:rFonts w:ascii="Arial" w:eastAsia="Arial" w:hAnsi="Arial" w:cs="Arial"/>
          <w:b/>
          <w:bCs/>
          <w:sz w:val="24"/>
          <w:szCs w:val="24"/>
        </w:rPr>
        <w:t>10 de mayo 2025</w:t>
      </w:r>
      <w:r>
        <w:rPr>
          <w:rFonts w:ascii="Arial" w:eastAsia="Arial" w:hAnsi="Arial" w:cs="Arial"/>
          <w:sz w:val="24"/>
          <w:szCs w:val="24"/>
        </w:rPr>
        <w:br/>
        <w:t xml:space="preserve">Acreditación y Ceremonia de apertura general </w:t>
      </w:r>
      <w:r>
        <w:rPr>
          <w:rFonts w:ascii="Arial" w:eastAsia="Arial" w:hAnsi="Arial" w:cs="Arial"/>
          <w:b/>
          <w:bCs/>
          <w:sz w:val="24"/>
          <w:szCs w:val="24"/>
        </w:rPr>
        <w:t>26 de mayo 2025</w:t>
      </w:r>
      <w:r>
        <w:rPr>
          <w:rFonts w:ascii="Arial" w:eastAsia="Arial" w:hAnsi="Arial" w:cs="Arial"/>
          <w:sz w:val="24"/>
          <w:szCs w:val="24"/>
        </w:rPr>
        <w:br/>
        <w:t xml:space="preserve">Ceremonia de clausura general: </w:t>
      </w:r>
      <w:r>
        <w:rPr>
          <w:rFonts w:ascii="Arial" w:eastAsia="Arial" w:hAnsi="Arial" w:cs="Arial"/>
          <w:b/>
          <w:bCs/>
          <w:sz w:val="24"/>
          <w:szCs w:val="24"/>
        </w:rPr>
        <w:t>30 de mayo 2025</w:t>
      </w:r>
    </w:p>
    <w:p w14:paraId="20CDCAE3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ED324C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Comité Científico creado a los efectos de convocar, organizar y dirigir su realización, seleccionará los trabajos que serán expuestos en la fecha correspondiente, así como los que serán incluidos en la publicación de las </w:t>
      </w:r>
      <w:r>
        <w:rPr>
          <w:rFonts w:ascii="Arial" w:eastAsia="Arial" w:hAnsi="Arial" w:cs="Arial"/>
          <w:b/>
          <w:sz w:val="24"/>
          <w:szCs w:val="24"/>
        </w:rPr>
        <w:t xml:space="preserve">Memorias del XI Taller Internacional de Administración Pública, </w:t>
      </w:r>
      <w:r>
        <w:rPr>
          <w:rFonts w:ascii="Arial" w:eastAsia="Arial" w:hAnsi="Arial" w:cs="Arial"/>
          <w:bCs/>
          <w:sz w:val="24"/>
          <w:szCs w:val="24"/>
        </w:rPr>
        <w:t>estará conformado por: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3AF3A31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Comité Organizador:</w:t>
      </w:r>
    </w:p>
    <w:p w14:paraId="04584691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997D735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Presidenta:</w:t>
      </w:r>
      <w:r>
        <w:rPr>
          <w:rFonts w:ascii="Arial" w:eastAsia="Arial" w:hAnsi="Arial" w:cs="Arial"/>
          <w:sz w:val="24"/>
          <w:szCs w:val="24"/>
        </w:rPr>
        <w:t xml:space="preserve"> Dr. C. Noris Tamayo Pineda</w:t>
      </w:r>
    </w:p>
    <w:p w14:paraId="6127DE60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Directora del Centro de Estudios de la Administración Pública   </w:t>
      </w:r>
    </w:p>
    <w:p w14:paraId="518AE5B6" w14:textId="77777777" w:rsidR="00801B11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Dirección de correo: </w:t>
      </w:r>
      <w:r>
        <w:rPr>
          <w:rStyle w:val="Hipervnculo"/>
          <w:rFonts w:ascii="Arial" w:eastAsia="Arial" w:hAnsi="Arial" w:cs="Arial"/>
          <w:sz w:val="24"/>
          <w:szCs w:val="24"/>
        </w:rPr>
        <w:t>noris@ceap.uh.cu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589B52FA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Teléfono: +53 78351863</w:t>
      </w:r>
    </w:p>
    <w:p w14:paraId="59CB352F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C42948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Vicepresidenta:</w:t>
      </w:r>
      <w:r>
        <w:rPr>
          <w:rFonts w:ascii="Arial" w:eastAsia="Arial" w:hAnsi="Arial" w:cs="Arial"/>
          <w:sz w:val="24"/>
          <w:szCs w:val="24"/>
        </w:rPr>
        <w:t xml:space="preserve"> Dr. C. Dámaris Valero Rivero. </w:t>
      </w:r>
    </w:p>
    <w:p w14:paraId="7770ADDB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Centro de Estudios de la Administración Pública </w:t>
      </w:r>
    </w:p>
    <w:p w14:paraId="38CAB0AE" w14:textId="77777777" w:rsidR="00801B11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Dirección de correo: </w:t>
      </w:r>
      <w:hyperlink r:id="rId8" w:history="1">
        <w:r>
          <w:rPr>
            <w:rStyle w:val="Hipervnculo"/>
            <w:rFonts w:ascii="Arial" w:eastAsia="Arial" w:hAnsi="Arial" w:cs="Arial"/>
            <w:sz w:val="24"/>
            <w:szCs w:val="24"/>
          </w:rPr>
          <w:t>damaris.valero@ceap.uh.cu</w:t>
        </w:r>
      </w:hyperlink>
    </w:p>
    <w:p w14:paraId="52E8E272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440415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Secretaria Ejecutiva:</w:t>
      </w:r>
      <w:r>
        <w:rPr>
          <w:rFonts w:ascii="Arial" w:eastAsia="Arial" w:hAnsi="Arial" w:cs="Arial"/>
          <w:sz w:val="24"/>
          <w:szCs w:val="24"/>
        </w:rPr>
        <w:t xml:space="preserve"> Lic. Magdalina Marrero </w:t>
      </w:r>
      <w:proofErr w:type="spellStart"/>
      <w:r>
        <w:rPr>
          <w:rFonts w:ascii="Arial" w:eastAsia="Arial" w:hAnsi="Arial" w:cs="Arial"/>
          <w:sz w:val="24"/>
          <w:szCs w:val="24"/>
        </w:rPr>
        <w:t>Camellere</w:t>
      </w:r>
      <w:proofErr w:type="spellEnd"/>
    </w:p>
    <w:p w14:paraId="0B5D7D36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Centro de Estudios de la Administración Pública</w:t>
      </w:r>
    </w:p>
    <w:p w14:paraId="1D4410B4" w14:textId="5A6659F5" w:rsidR="003F129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Dirección de correo: </w:t>
      </w:r>
      <w:hyperlink r:id="rId9" w:history="1">
        <w:r w:rsidR="003F1296" w:rsidRPr="008667DB">
          <w:rPr>
            <w:rStyle w:val="Hipervnculo"/>
            <w:rFonts w:ascii="Arial" w:eastAsia="Arial" w:hAnsi="Arial" w:cs="Arial"/>
            <w:sz w:val="24"/>
            <w:szCs w:val="24"/>
          </w:rPr>
          <w:t>magdalina.marrero@ceap.uh.cu</w:t>
        </w:r>
      </w:hyperlink>
    </w:p>
    <w:p w14:paraId="3EBD93E1" w14:textId="162F6595" w:rsidR="00801B11" w:rsidRDefault="00000000" w:rsidP="003F12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fldChar w:fldCharType="begin"/>
      </w:r>
      <w:r>
        <w:rPr>
          <w:rStyle w:val="Hipervnculo"/>
          <w:rFonts w:ascii="Arial" w:eastAsia="Arial" w:hAnsi="Arial" w:cs="Arial"/>
          <w:sz w:val="24"/>
          <w:szCs w:val="24"/>
        </w:rPr>
        <w:instrText>magdalina.marrero@ceap.uh.cu</w:instrText>
      </w:r>
      <w:r>
        <w:instrText>"</w:instrText>
      </w:r>
      <w:r>
        <w:fldChar w:fldCharType="separate"/>
      </w:r>
      <w:r>
        <w:rPr>
          <w:rStyle w:val="Hipervnculo"/>
          <w:rFonts w:ascii="Arial" w:eastAsia="Arial" w:hAnsi="Arial" w:cs="Arial"/>
          <w:sz w:val="24"/>
          <w:szCs w:val="24"/>
        </w:rPr>
        <w:t>magdalina.marrero@ceap.uh.cu</w:t>
      </w:r>
      <w:r>
        <w:rPr>
          <w:rStyle w:val="Hipervnculo"/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DEF74F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Presidenta Comité Científico: </w:t>
      </w:r>
      <w:r>
        <w:rPr>
          <w:rFonts w:ascii="Arial" w:eastAsia="Arial" w:hAnsi="Arial" w:cs="Arial"/>
          <w:sz w:val="24"/>
          <w:szCs w:val="24"/>
        </w:rPr>
        <w:t>Dr. C. Vivian Rodríguez Acosta</w:t>
      </w:r>
    </w:p>
    <w:p w14:paraId="49C239A3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Centro de Estudios de la Administración Pública. </w:t>
      </w:r>
    </w:p>
    <w:p w14:paraId="3B29F4F0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Dirección de correo: </w:t>
      </w:r>
      <w:hyperlink r:id="rId10" w:history="1">
        <w:r>
          <w:rPr>
            <w:rStyle w:val="Hipervnculo"/>
            <w:rFonts w:ascii="Arial" w:eastAsia="Arial" w:hAnsi="Arial" w:cs="Arial"/>
            <w:sz w:val="24"/>
            <w:szCs w:val="24"/>
          </w:rPr>
          <w:t>vivian@ceap.uh.cu</w:t>
        </w:r>
      </w:hyperlink>
    </w:p>
    <w:p w14:paraId="53A6630B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327E41" w14:textId="77777777" w:rsidR="00801B11" w:rsidRDefault="00801B1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922549C" w14:textId="77777777" w:rsidR="00801B11" w:rsidRDefault="000000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801B11">
      <w:headerReference w:type="default" r:id="rId11"/>
      <w:footerReference w:type="default" r:id="rId12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305A" w14:textId="77777777" w:rsidR="00A2085F" w:rsidRDefault="00A2085F">
      <w:pPr>
        <w:spacing w:line="240" w:lineRule="auto"/>
      </w:pPr>
      <w:r>
        <w:separator/>
      </w:r>
    </w:p>
  </w:endnote>
  <w:endnote w:type="continuationSeparator" w:id="0">
    <w:p w14:paraId="61A5CB10" w14:textId="77777777" w:rsidR="00A2085F" w:rsidRDefault="00A20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861F" w14:textId="77777777" w:rsidR="00801B11" w:rsidRDefault="00000000">
    <w:pPr>
      <w:pStyle w:val="Piedepgina"/>
      <w:ind w:firstLine="708"/>
    </w:pPr>
    <w:r>
      <w:t xml:space="preserve">                        </w:t>
    </w:r>
    <w:r>
      <w:rPr>
        <w:noProof/>
        <w:lang w:val="en-US"/>
      </w:rPr>
      <w:drawing>
        <wp:inline distT="0" distB="0" distL="0" distR="0" wp14:anchorId="79618817" wp14:editId="2DAEE4C0">
          <wp:extent cx="975360" cy="906145"/>
          <wp:effectExtent l="0" t="0" r="0" b="825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500" cy="925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val="en-US"/>
      </w:rPr>
      <w:drawing>
        <wp:inline distT="0" distB="0" distL="0" distR="0" wp14:anchorId="298A601C" wp14:editId="3C95DB27">
          <wp:extent cx="715010" cy="784225"/>
          <wp:effectExtent l="0" t="0" r="8890" b="0"/>
          <wp:docPr id="938533617" name="Imagen 4" descr="Asociación Nacional de Economistas y Contadores de Cub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33617" name="Imagen 4" descr="Asociación Nacional de Economistas y Contadores de Cub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66" cy="81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A8C5C" w14:textId="77777777" w:rsidR="00A2085F" w:rsidRDefault="00A2085F">
      <w:pPr>
        <w:spacing w:after="0"/>
      </w:pPr>
      <w:r>
        <w:separator/>
      </w:r>
    </w:p>
  </w:footnote>
  <w:footnote w:type="continuationSeparator" w:id="0">
    <w:p w14:paraId="2AE5EA52" w14:textId="77777777" w:rsidR="00A2085F" w:rsidRDefault="00A20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77FB" w14:textId="77777777" w:rsidR="00801B11" w:rsidRDefault="00000000"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2524C6B" wp14:editId="3A4A8CA6">
          <wp:simplePos x="0" y="0"/>
          <wp:positionH relativeFrom="column">
            <wp:posOffset>4003040</wp:posOffset>
          </wp:positionH>
          <wp:positionV relativeFrom="paragraph">
            <wp:posOffset>-313690</wp:posOffset>
          </wp:positionV>
          <wp:extent cx="1645285" cy="622935"/>
          <wp:effectExtent l="0" t="0" r="0" b="6350"/>
          <wp:wrapSquare wrapText="bothSides"/>
          <wp:docPr id="102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200" cy="62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bCs/>
        <w:noProof/>
        <w:color w:val="000000"/>
        <w:spacing w:val="2"/>
        <w:lang w:val="en-US"/>
      </w:rPr>
      <w:drawing>
        <wp:anchor distT="0" distB="0" distL="114300" distR="114300" simplePos="0" relativeHeight="251659264" behindDoc="0" locked="0" layoutInCell="1" allowOverlap="1" wp14:anchorId="590285BC" wp14:editId="50D1576F">
          <wp:simplePos x="0" y="0"/>
          <wp:positionH relativeFrom="column">
            <wp:posOffset>2614295</wp:posOffset>
          </wp:positionH>
          <wp:positionV relativeFrom="paragraph">
            <wp:posOffset>-379095</wp:posOffset>
          </wp:positionV>
          <wp:extent cx="1068705" cy="966470"/>
          <wp:effectExtent l="0" t="0" r="0" b="0"/>
          <wp:wrapSquare wrapText="bothSides"/>
          <wp:docPr id="6" name="Imagen 6" descr="C:\Users\VIVIAN\Downloads\Identificador sin genérico (negr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VIVIAN\Downloads\Identificador sin genérico (negr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70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allowOverlap="1" wp14:anchorId="0A142ADF" wp14:editId="42BD75EB">
          <wp:simplePos x="0" y="0"/>
          <wp:positionH relativeFrom="page">
            <wp:posOffset>977265</wp:posOffset>
          </wp:positionH>
          <wp:positionV relativeFrom="page">
            <wp:posOffset>189230</wp:posOffset>
          </wp:positionV>
          <wp:extent cx="2011680" cy="696595"/>
          <wp:effectExtent l="0" t="0" r="0" b="0"/>
          <wp:wrapNone/>
          <wp:docPr id="409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 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ES"/>
      </w:rPr>
      <w:t xml:space="preserve">  </w:t>
    </w:r>
    <w:r>
      <w:t xml:space="preserve">         </w:t>
    </w:r>
    <w:r>
      <w:rPr>
        <w:lang w:eastAsia="es-ES"/>
      </w:rPr>
      <w:t xml:space="preserve">                     </w:t>
    </w:r>
    <w:r>
      <w:t xml:space="preserve">                            </w:t>
    </w:r>
    <w:r>
      <w:rPr>
        <w:lang w:eastAsia="es-ES"/>
      </w:rPr>
      <w:t xml:space="preserve">  </w:t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06E"/>
    <w:multiLevelType w:val="multilevel"/>
    <w:tmpl w:val="14F83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E24"/>
    <w:multiLevelType w:val="multilevel"/>
    <w:tmpl w:val="34875E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43705">
    <w:abstractNumId w:val="1"/>
  </w:num>
  <w:num w:numId="2" w16cid:durableId="13203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91"/>
    <w:rsid w:val="00094929"/>
    <w:rsid w:val="000A7AD9"/>
    <w:rsid w:val="000B4103"/>
    <w:rsid w:val="000B69FC"/>
    <w:rsid w:val="000B736C"/>
    <w:rsid w:val="000C7A11"/>
    <w:rsid w:val="000D0296"/>
    <w:rsid w:val="00107CDF"/>
    <w:rsid w:val="00117447"/>
    <w:rsid w:val="001325F7"/>
    <w:rsid w:val="00133745"/>
    <w:rsid w:val="0017028A"/>
    <w:rsid w:val="001E614E"/>
    <w:rsid w:val="001E7B44"/>
    <w:rsid w:val="001F6E76"/>
    <w:rsid w:val="00210DE0"/>
    <w:rsid w:val="002211DD"/>
    <w:rsid w:val="002763E2"/>
    <w:rsid w:val="00276D3A"/>
    <w:rsid w:val="00286104"/>
    <w:rsid w:val="0028778B"/>
    <w:rsid w:val="002A2E7D"/>
    <w:rsid w:val="002C734C"/>
    <w:rsid w:val="002F6E61"/>
    <w:rsid w:val="002F76CA"/>
    <w:rsid w:val="003300FD"/>
    <w:rsid w:val="00331696"/>
    <w:rsid w:val="00335501"/>
    <w:rsid w:val="003371B9"/>
    <w:rsid w:val="00346717"/>
    <w:rsid w:val="003911BC"/>
    <w:rsid w:val="003A2398"/>
    <w:rsid w:val="003B5566"/>
    <w:rsid w:val="003D1346"/>
    <w:rsid w:val="003F1296"/>
    <w:rsid w:val="00412EA2"/>
    <w:rsid w:val="004544DA"/>
    <w:rsid w:val="00466128"/>
    <w:rsid w:val="0047009E"/>
    <w:rsid w:val="00473CD3"/>
    <w:rsid w:val="00473D13"/>
    <w:rsid w:val="00492BF4"/>
    <w:rsid w:val="004B5C5F"/>
    <w:rsid w:val="004C5E31"/>
    <w:rsid w:val="004D157B"/>
    <w:rsid w:val="004D42D3"/>
    <w:rsid w:val="004E3581"/>
    <w:rsid w:val="0051071E"/>
    <w:rsid w:val="005637B2"/>
    <w:rsid w:val="00565398"/>
    <w:rsid w:val="005813EA"/>
    <w:rsid w:val="0059582E"/>
    <w:rsid w:val="00596F93"/>
    <w:rsid w:val="005A1BD1"/>
    <w:rsid w:val="005B1334"/>
    <w:rsid w:val="005C3BBE"/>
    <w:rsid w:val="005D4868"/>
    <w:rsid w:val="005E2E86"/>
    <w:rsid w:val="005E4660"/>
    <w:rsid w:val="005E599A"/>
    <w:rsid w:val="005F23B1"/>
    <w:rsid w:val="00611D42"/>
    <w:rsid w:val="00613ACE"/>
    <w:rsid w:val="006263A1"/>
    <w:rsid w:val="00630690"/>
    <w:rsid w:val="00633EBD"/>
    <w:rsid w:val="006358C1"/>
    <w:rsid w:val="00640E2D"/>
    <w:rsid w:val="006449B8"/>
    <w:rsid w:val="006B473D"/>
    <w:rsid w:val="006B5175"/>
    <w:rsid w:val="006C371B"/>
    <w:rsid w:val="006D3F94"/>
    <w:rsid w:val="006E1A55"/>
    <w:rsid w:val="006F29A5"/>
    <w:rsid w:val="00711691"/>
    <w:rsid w:val="00741FA8"/>
    <w:rsid w:val="00743310"/>
    <w:rsid w:val="00744EF4"/>
    <w:rsid w:val="007474AE"/>
    <w:rsid w:val="007705EE"/>
    <w:rsid w:val="00775854"/>
    <w:rsid w:val="007A495A"/>
    <w:rsid w:val="007D6E59"/>
    <w:rsid w:val="00801B11"/>
    <w:rsid w:val="008159E4"/>
    <w:rsid w:val="00856C5E"/>
    <w:rsid w:val="00871BF9"/>
    <w:rsid w:val="00892BA4"/>
    <w:rsid w:val="00897A10"/>
    <w:rsid w:val="008C08E7"/>
    <w:rsid w:val="008D2C7C"/>
    <w:rsid w:val="00906A05"/>
    <w:rsid w:val="00923485"/>
    <w:rsid w:val="009777F0"/>
    <w:rsid w:val="0098706A"/>
    <w:rsid w:val="00992B1A"/>
    <w:rsid w:val="009A08F1"/>
    <w:rsid w:val="009B0110"/>
    <w:rsid w:val="009B0BF2"/>
    <w:rsid w:val="009B524E"/>
    <w:rsid w:val="009C5F8D"/>
    <w:rsid w:val="009E2A86"/>
    <w:rsid w:val="00A11215"/>
    <w:rsid w:val="00A2085F"/>
    <w:rsid w:val="00A36B90"/>
    <w:rsid w:val="00A46EF9"/>
    <w:rsid w:val="00A5454F"/>
    <w:rsid w:val="00A76A02"/>
    <w:rsid w:val="00B06894"/>
    <w:rsid w:val="00B111B4"/>
    <w:rsid w:val="00B23FE5"/>
    <w:rsid w:val="00B2732A"/>
    <w:rsid w:val="00B605CF"/>
    <w:rsid w:val="00B75BFF"/>
    <w:rsid w:val="00B97F57"/>
    <w:rsid w:val="00BA5DB3"/>
    <w:rsid w:val="00BC0B93"/>
    <w:rsid w:val="00BF3EDB"/>
    <w:rsid w:val="00C06341"/>
    <w:rsid w:val="00C36F62"/>
    <w:rsid w:val="00C43226"/>
    <w:rsid w:val="00C43CAC"/>
    <w:rsid w:val="00C90C5B"/>
    <w:rsid w:val="00CA5247"/>
    <w:rsid w:val="00CB28DC"/>
    <w:rsid w:val="00CC18B4"/>
    <w:rsid w:val="00CD2EED"/>
    <w:rsid w:val="00CD36D9"/>
    <w:rsid w:val="00CE1242"/>
    <w:rsid w:val="00CE2A6D"/>
    <w:rsid w:val="00D069D1"/>
    <w:rsid w:val="00D21A96"/>
    <w:rsid w:val="00D54823"/>
    <w:rsid w:val="00D63489"/>
    <w:rsid w:val="00D8405F"/>
    <w:rsid w:val="00D9288D"/>
    <w:rsid w:val="00DE1BB9"/>
    <w:rsid w:val="00E03C8D"/>
    <w:rsid w:val="00E237BE"/>
    <w:rsid w:val="00E34781"/>
    <w:rsid w:val="00E54086"/>
    <w:rsid w:val="00E748B0"/>
    <w:rsid w:val="00E92409"/>
    <w:rsid w:val="00EB4AD9"/>
    <w:rsid w:val="00ED4BD8"/>
    <w:rsid w:val="00F039CC"/>
    <w:rsid w:val="00F04399"/>
    <w:rsid w:val="00F4488C"/>
    <w:rsid w:val="00F44A29"/>
    <w:rsid w:val="00F52ED3"/>
    <w:rsid w:val="00F666F0"/>
    <w:rsid w:val="00F87E93"/>
    <w:rsid w:val="00FC1319"/>
    <w:rsid w:val="00FC3E19"/>
    <w:rsid w:val="00FD39FB"/>
    <w:rsid w:val="00FE2D06"/>
    <w:rsid w:val="00FE456F"/>
    <w:rsid w:val="00FE5791"/>
    <w:rsid w:val="217213A2"/>
    <w:rsid w:val="3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00D4"/>
  <w15:docId w15:val="{046BD513-A18D-4A4E-8D1F-40860ACC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Fuentedeprrafopredeter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F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aris.valero@ceap.uh.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os.uh.c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vian@ceap.uh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ina.marrero@ceap.uh.c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MAELIA</dc:creator>
  <cp:lastModifiedBy>Dámaris Valero Rivero</cp:lastModifiedBy>
  <cp:revision>3</cp:revision>
  <dcterms:created xsi:type="dcterms:W3CDTF">2025-01-15T23:52:00Z</dcterms:created>
  <dcterms:modified xsi:type="dcterms:W3CDTF">2025-01-16T20:01:00Z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05DCC6FA63B643CD86FA2950D5FB0079_13</vt:lpwstr>
  </property>
</Properties>
</file>